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045E9F">
      <w:pPr>
        <w:pStyle w:val="2"/>
        <w:keepNext/>
        <w:keepLines/>
        <w:pageBreakBefore w:val="0"/>
        <w:widowControl w:val="0"/>
        <w:kinsoku/>
        <w:wordWrap/>
        <w:overflowPunct/>
        <w:topLinePunct w:val="0"/>
        <w:autoSpaceDE/>
        <w:autoSpaceDN/>
        <w:bidi w:val="0"/>
        <w:adjustRightInd/>
        <w:snapToGrid/>
        <w:spacing w:line="240" w:lineRule="auto"/>
        <w:jc w:val="center"/>
        <w:textAlignment w:val="auto"/>
        <w:rPr>
          <w:rFonts w:hint="eastAsia" w:ascii="新宋体" w:hAnsi="新宋体" w:eastAsia="新宋体" w:cs="新宋体"/>
          <w:sz w:val="44"/>
          <w:szCs w:val="44"/>
          <w:lang w:val="en-US"/>
        </w:rPr>
      </w:pPr>
      <w:r>
        <w:rPr>
          <w:rFonts w:hint="eastAsia" w:ascii="新宋体" w:hAnsi="新宋体" w:eastAsia="新宋体" w:cs="新宋体"/>
          <w:color w:val="000000"/>
          <w:sz w:val="44"/>
          <w:szCs w:val="44"/>
        </w:rPr>
        <w:t>湘潭</w:t>
      </w:r>
      <w:r>
        <w:rPr>
          <w:rFonts w:hint="eastAsia" w:ascii="新宋体" w:hAnsi="新宋体" w:eastAsia="新宋体" w:cs="新宋体"/>
          <w:sz w:val="44"/>
          <w:szCs w:val="44"/>
          <w:lang w:val="en-US" w:eastAsia="zh-CN"/>
        </w:rPr>
        <w:t>市工业贸易中等专业</w:t>
      </w:r>
      <w:r>
        <w:rPr>
          <w:rFonts w:hint="eastAsia" w:ascii="新宋体" w:hAnsi="新宋体" w:eastAsia="新宋体" w:cs="新宋体"/>
          <w:sz w:val="44"/>
          <w:szCs w:val="44"/>
        </w:rPr>
        <w:t>学校</w:t>
      </w:r>
      <w:r>
        <w:rPr>
          <w:rFonts w:hint="eastAsia" w:ascii="新宋体" w:hAnsi="新宋体" w:eastAsia="新宋体" w:cs="新宋体"/>
          <w:sz w:val="44"/>
          <w:szCs w:val="44"/>
          <w:lang w:val="en-US" w:eastAsia="zh-CN"/>
        </w:rPr>
        <w:t xml:space="preserve">          </w:t>
      </w:r>
      <w:r>
        <w:rPr>
          <w:rFonts w:hint="eastAsia" w:ascii="黑体" w:hAnsi="黑体" w:eastAsia="黑体" w:cs="黑体"/>
          <w:b w:val="0"/>
          <w:bCs/>
          <w:sz w:val="44"/>
          <w:szCs w:val="44"/>
          <w:lang w:val="en-US" w:eastAsia="zh-CN"/>
        </w:rPr>
        <w:t>机电一体化竞赛实训平台招标</w:t>
      </w:r>
      <w:r>
        <w:rPr>
          <w:rFonts w:hint="eastAsia" w:ascii="新宋体" w:hAnsi="新宋体" w:eastAsia="新宋体" w:cs="新宋体"/>
          <w:sz w:val="44"/>
          <w:szCs w:val="44"/>
          <w:lang w:val="en-US" w:eastAsia="zh-CN"/>
        </w:rPr>
        <w:t>公告</w:t>
      </w:r>
    </w:p>
    <w:p w14:paraId="59F106D1">
      <w:pPr>
        <w:pStyle w:val="3"/>
        <w:keepNext w:val="0"/>
        <w:keepLines w:val="0"/>
        <w:widowControl/>
        <w:suppressLineNumbers w:val="0"/>
        <w:spacing w:line="26" w:lineRule="atLeast"/>
        <w:jc w:val="both"/>
        <w:rPr>
          <w:color w:val="000000"/>
          <w:sz w:val="24"/>
          <w:szCs w:val="24"/>
        </w:rPr>
      </w:pPr>
    </w:p>
    <w:p w14:paraId="3FAEFCC4">
      <w:pPr>
        <w:pStyle w:val="3"/>
        <w:keepNext w:val="0"/>
        <w:keepLines w:val="0"/>
        <w:widowControl/>
        <w:suppressLineNumbers w:val="0"/>
        <w:spacing w:line="26" w:lineRule="atLeast"/>
        <w:jc w:val="both"/>
        <w:rPr>
          <w:b/>
          <w:bCs/>
          <w:color w:val="000000"/>
          <w:sz w:val="24"/>
          <w:szCs w:val="24"/>
        </w:rPr>
      </w:pPr>
      <w:r>
        <w:rPr>
          <w:color w:val="000000"/>
          <w:sz w:val="24"/>
          <w:szCs w:val="24"/>
        </w:rPr>
        <w:t>现将有关事项公告如下：</w:t>
      </w:r>
    </w:p>
    <w:p w14:paraId="02DC0ABD">
      <w:pPr>
        <w:pStyle w:val="3"/>
        <w:keepNext w:val="0"/>
        <w:keepLines w:val="0"/>
        <w:widowControl/>
        <w:suppressLineNumbers w:val="0"/>
        <w:spacing w:line="26" w:lineRule="atLeast"/>
        <w:jc w:val="both"/>
        <w:rPr>
          <w:rStyle w:val="7"/>
          <w:rFonts w:ascii="宋体" w:hAnsi="宋体" w:eastAsia="宋体" w:cs="宋体"/>
          <w:kern w:val="0"/>
          <w:sz w:val="24"/>
          <w:szCs w:val="24"/>
          <w:lang w:val="en-US" w:eastAsia="zh-CN" w:bidi="ar"/>
        </w:rPr>
      </w:pPr>
      <w:r>
        <w:rPr>
          <w:rStyle w:val="7"/>
          <w:rFonts w:ascii="宋体" w:hAnsi="宋体" w:eastAsia="宋体" w:cs="宋体"/>
          <w:kern w:val="0"/>
          <w:sz w:val="24"/>
          <w:szCs w:val="24"/>
          <w:lang w:val="en-US" w:eastAsia="zh-CN" w:bidi="ar"/>
        </w:rPr>
        <w:t>项目名称</w:t>
      </w:r>
    </w:p>
    <w:p w14:paraId="581B2828">
      <w:pPr>
        <w:pStyle w:val="3"/>
        <w:keepNext w:val="0"/>
        <w:keepLines w:val="0"/>
        <w:widowControl/>
        <w:suppressLineNumbers w:val="0"/>
        <w:spacing w:line="26" w:lineRule="atLeast"/>
        <w:jc w:val="both"/>
        <w:rPr>
          <w:rFonts w:hint="eastAsia" w:ascii="新宋体" w:hAnsi="新宋体" w:eastAsia="新宋体" w:cs="新宋体"/>
          <w:b w:val="0"/>
          <w:bCs/>
          <w:sz w:val="24"/>
          <w:szCs w:val="24"/>
          <w:lang w:val="en-US"/>
        </w:rPr>
      </w:pPr>
      <w:r>
        <w:rPr>
          <w:rFonts w:hint="eastAsia" w:ascii="新宋体" w:hAnsi="新宋体" w:eastAsia="新宋体" w:cs="新宋体"/>
          <w:b w:val="0"/>
          <w:bCs/>
          <w:color w:val="000000"/>
          <w:sz w:val="24"/>
          <w:szCs w:val="24"/>
        </w:rPr>
        <w:t>湘潭</w:t>
      </w:r>
      <w:r>
        <w:rPr>
          <w:rFonts w:hint="eastAsia" w:ascii="新宋体" w:hAnsi="新宋体" w:eastAsia="新宋体" w:cs="新宋体"/>
          <w:b w:val="0"/>
          <w:bCs/>
          <w:sz w:val="24"/>
          <w:szCs w:val="24"/>
          <w:lang w:val="en-US" w:eastAsia="zh-CN"/>
        </w:rPr>
        <w:t>市工业贸易中等专业</w:t>
      </w:r>
      <w:r>
        <w:rPr>
          <w:rFonts w:hint="eastAsia" w:ascii="新宋体" w:hAnsi="新宋体" w:eastAsia="新宋体" w:cs="新宋体"/>
          <w:b w:val="0"/>
          <w:bCs/>
          <w:sz w:val="24"/>
          <w:szCs w:val="24"/>
        </w:rPr>
        <w:t>学校</w:t>
      </w:r>
      <w:r>
        <w:rPr>
          <w:rFonts w:hint="eastAsia" w:ascii="宋体" w:hAnsi="宋体" w:eastAsia="宋体" w:cs="宋体"/>
          <w:b w:val="0"/>
          <w:bCs/>
          <w:sz w:val="24"/>
          <w:szCs w:val="24"/>
          <w:lang w:val="en-US" w:eastAsia="zh-CN"/>
        </w:rPr>
        <w:t>机电一体化竞赛实训平台</w:t>
      </w:r>
      <w:r>
        <w:rPr>
          <w:rFonts w:hint="eastAsia" w:ascii="新宋体" w:hAnsi="新宋体" w:eastAsia="新宋体" w:cs="新宋体"/>
          <w:b w:val="0"/>
          <w:bCs/>
          <w:sz w:val="24"/>
          <w:szCs w:val="24"/>
          <w:lang w:val="en-US" w:eastAsia="zh-CN"/>
        </w:rPr>
        <w:t>招标公告</w:t>
      </w:r>
    </w:p>
    <w:p w14:paraId="6A0F713C">
      <w:pPr>
        <w:pStyle w:val="12"/>
        <w:jc w:val="left"/>
        <w:rPr>
          <w:rStyle w:val="7"/>
          <w:rFonts w:hint="eastAsia" w:ascii="宋体" w:hAnsi="宋体" w:eastAsia="宋体" w:cs="宋体"/>
          <w:kern w:val="0"/>
          <w:sz w:val="24"/>
          <w:szCs w:val="24"/>
          <w:lang w:val="en-US" w:eastAsia="zh-CN" w:bidi="ar"/>
        </w:rPr>
      </w:pPr>
      <w:r>
        <w:rPr>
          <w:rStyle w:val="7"/>
          <w:rFonts w:ascii="宋体" w:hAnsi="宋体" w:eastAsia="宋体" w:cs="宋体"/>
          <w:kern w:val="0"/>
          <w:sz w:val="24"/>
          <w:szCs w:val="24"/>
          <w:lang w:val="en-US" w:eastAsia="zh-CN" w:bidi="ar"/>
        </w:rPr>
        <w:t>项目内容</w:t>
      </w:r>
      <w:r>
        <w:rPr>
          <w:rStyle w:val="7"/>
          <w:rFonts w:hint="eastAsia" w:ascii="宋体" w:hAnsi="宋体" w:eastAsia="宋体" w:cs="宋体"/>
          <w:kern w:val="0"/>
          <w:sz w:val="24"/>
          <w:szCs w:val="24"/>
          <w:lang w:val="en-US" w:eastAsia="zh-CN" w:bidi="ar"/>
        </w:rPr>
        <w:t xml:space="preserve">  </w:t>
      </w:r>
    </w:p>
    <w:p w14:paraId="3C587468">
      <w:pPr>
        <w:pStyle w:val="12"/>
        <w:ind w:firstLine="240" w:firstLineChars="100"/>
        <w:jc w:val="left"/>
        <w:rPr>
          <w:rFonts w:hint="eastAsia"/>
          <w:lang w:val="en-US" w:eastAsia="zh-CN"/>
        </w:rPr>
      </w:pPr>
    </w:p>
    <w:p w14:paraId="752D36F6">
      <w:pPr>
        <w:pStyle w:val="12"/>
        <w:ind w:firstLine="480" w:firstLineChars="200"/>
        <w:jc w:val="left"/>
        <w:rPr>
          <w:rFonts w:hint="eastAsia"/>
        </w:rPr>
      </w:pPr>
      <w:r>
        <w:rPr>
          <w:rFonts w:hint="eastAsia"/>
          <w:lang w:val="en-US" w:eastAsia="zh-CN"/>
        </w:rPr>
        <w:t>实训平台</w:t>
      </w:r>
      <w:r>
        <w:rPr>
          <w:rFonts w:hint="eastAsia"/>
        </w:rPr>
        <w:t>由多个相对独立的模块组合而成，能够进行分组训练及系统构成练习。系统的每一个组成模块，相当于实际生产车间中的一台加工设备，学生在充分掌握了基础部分知识的基础上，理解这些知识的相互关联，训练综合分析问题、解决问题的能力。满足更高层次训练要求，还可以进行工程的设计规划、工程管理、生产过程的流通管理及工作小组及团队之间的交流和工作配合等课程的练习。</w:t>
      </w:r>
    </w:p>
    <w:p w14:paraId="1BCE4159">
      <w:pPr>
        <w:pStyle w:val="12"/>
        <w:jc w:val="left"/>
        <w:rPr>
          <w:rFonts w:hint="eastAsia" w:ascii="新宋体" w:hAnsi="新宋体" w:eastAsia="新宋体" w:cs="新宋体"/>
          <w:color w:val="000000"/>
          <w:kern w:val="0"/>
          <w:sz w:val="24"/>
          <w:szCs w:val="24"/>
          <w:u w:val="none"/>
          <w:lang w:val="en-US" w:eastAsia="zh-CN" w:bidi="ar"/>
        </w:rPr>
      </w:pPr>
      <w:r>
        <w:rPr>
          <w:rFonts w:hint="eastAsia"/>
        </w:rPr>
        <w:t xml:space="preserve"> </w:t>
      </w:r>
      <w:r>
        <w:rPr>
          <w:rFonts w:hint="eastAsia" w:ascii="新宋体" w:hAnsi="新宋体" w:eastAsia="新宋体" w:cs="新宋体"/>
          <w:color w:val="000000"/>
          <w:kern w:val="0"/>
          <w:sz w:val="24"/>
          <w:szCs w:val="24"/>
          <w:u w:val="none"/>
          <w:lang w:val="en-US" w:eastAsia="zh-CN" w:bidi="ar"/>
        </w:rPr>
        <w:t xml:space="preserve"> </w:t>
      </w:r>
    </w:p>
    <w:p w14:paraId="0D1B6A79">
      <w:pPr>
        <w:keepNext w:val="0"/>
        <w:keepLines w:val="0"/>
        <w:widowControl/>
        <w:suppressLineNumbers w:val="0"/>
        <w:jc w:val="both"/>
        <w:rPr>
          <w:b w:val="0"/>
          <w:bCs/>
          <w:sz w:val="24"/>
          <w:szCs w:val="24"/>
        </w:rPr>
      </w:pPr>
      <w:r>
        <w:rPr>
          <w:rStyle w:val="7"/>
          <w:rFonts w:hint="eastAsia" w:ascii="宋体" w:hAnsi="宋体" w:eastAsia="宋体" w:cs="宋体"/>
          <w:kern w:val="0"/>
          <w:sz w:val="24"/>
          <w:szCs w:val="24"/>
          <w:lang w:val="en-US" w:eastAsia="zh-CN" w:bidi="ar"/>
        </w:rPr>
        <w:t xml:space="preserve">                                              </w:t>
      </w:r>
      <w:r>
        <w:rPr>
          <w:rFonts w:ascii="宋体" w:hAnsi="宋体" w:eastAsia="宋体" w:cs="宋体"/>
          <w:kern w:val="0"/>
          <w:sz w:val="24"/>
          <w:szCs w:val="24"/>
          <w:lang w:val="en-US" w:eastAsia="zh-CN" w:bidi="ar"/>
        </w:rPr>
        <w:br w:type="textWrapping"/>
      </w:r>
      <w:r>
        <w:rPr>
          <w:rStyle w:val="7"/>
          <w:rFonts w:ascii="宋体" w:hAnsi="宋体" w:eastAsia="宋体" w:cs="宋体"/>
          <w:kern w:val="0"/>
          <w:sz w:val="24"/>
          <w:szCs w:val="24"/>
          <w:lang w:val="en-US" w:eastAsia="zh-CN" w:bidi="ar"/>
        </w:rPr>
        <w:t>建设单位</w:t>
      </w:r>
    </w:p>
    <w:p w14:paraId="20993A29">
      <w:pPr>
        <w:pStyle w:val="3"/>
        <w:keepNext w:val="0"/>
        <w:keepLines w:val="0"/>
        <w:widowControl/>
        <w:suppressLineNumbers w:val="0"/>
        <w:spacing w:before="60" w:beforeAutospacing="0" w:after="60" w:afterAutospacing="0" w:line="26" w:lineRule="atLeast"/>
        <w:ind w:right="0"/>
        <w:jc w:val="both"/>
        <w:rPr>
          <w:color w:val="000000"/>
          <w:sz w:val="24"/>
          <w:szCs w:val="24"/>
        </w:rPr>
      </w:pPr>
    </w:p>
    <w:p w14:paraId="23628F8E">
      <w:pPr>
        <w:pStyle w:val="3"/>
        <w:keepNext w:val="0"/>
        <w:keepLines w:val="0"/>
        <w:widowControl/>
        <w:suppressLineNumbers w:val="0"/>
        <w:spacing w:before="60" w:beforeAutospacing="0" w:after="60" w:afterAutospacing="0" w:line="26" w:lineRule="atLeast"/>
        <w:ind w:right="0"/>
        <w:jc w:val="both"/>
        <w:rPr>
          <w:sz w:val="24"/>
          <w:szCs w:val="24"/>
        </w:rPr>
      </w:pPr>
      <w:r>
        <w:rPr>
          <w:color w:val="000000"/>
          <w:sz w:val="24"/>
          <w:szCs w:val="24"/>
        </w:rPr>
        <w:t>湘潭</w:t>
      </w:r>
      <w:r>
        <w:rPr>
          <w:rFonts w:hint="eastAsia"/>
          <w:color w:val="000000"/>
          <w:sz w:val="24"/>
          <w:szCs w:val="24"/>
          <w:lang w:val="en-US" w:eastAsia="zh-CN"/>
        </w:rPr>
        <w:t>市</w:t>
      </w:r>
      <w:r>
        <w:rPr>
          <w:rFonts w:hint="eastAsia"/>
          <w:sz w:val="24"/>
          <w:szCs w:val="24"/>
          <w:lang w:val="en-US" w:eastAsia="zh-CN"/>
        </w:rPr>
        <w:t>工业贸易中等专业</w:t>
      </w:r>
      <w:r>
        <w:rPr>
          <w:color w:val="000000"/>
          <w:sz w:val="24"/>
          <w:szCs w:val="24"/>
        </w:rPr>
        <w:t>学校</w:t>
      </w:r>
    </w:p>
    <w:p w14:paraId="0DBEC182">
      <w:pPr>
        <w:keepNext w:val="0"/>
        <w:keepLines w:val="0"/>
        <w:widowControl/>
        <w:suppressLineNumbers w:val="0"/>
        <w:jc w:val="both"/>
        <w:rPr>
          <w:rStyle w:val="7"/>
          <w:rFonts w:ascii="宋体" w:hAnsi="宋体" w:eastAsia="宋体" w:cs="宋体"/>
          <w:kern w:val="0"/>
          <w:sz w:val="24"/>
          <w:szCs w:val="24"/>
          <w:lang w:val="en-US" w:eastAsia="zh-CN" w:bidi="ar"/>
        </w:rPr>
      </w:pPr>
    </w:p>
    <w:p w14:paraId="2DC1B72B">
      <w:pPr>
        <w:keepNext w:val="0"/>
        <w:keepLines w:val="0"/>
        <w:widowControl/>
        <w:suppressLineNumbers w:val="0"/>
        <w:jc w:val="both"/>
        <w:rPr>
          <w:sz w:val="24"/>
          <w:szCs w:val="24"/>
        </w:rPr>
      </w:pPr>
      <w:r>
        <w:rPr>
          <w:rStyle w:val="7"/>
          <w:rFonts w:ascii="宋体" w:hAnsi="宋体" w:eastAsia="宋体" w:cs="宋体"/>
          <w:kern w:val="0"/>
          <w:sz w:val="24"/>
          <w:szCs w:val="24"/>
          <w:lang w:val="en-US" w:eastAsia="zh-CN" w:bidi="ar"/>
        </w:rPr>
        <w:t>项目地点</w:t>
      </w:r>
    </w:p>
    <w:p w14:paraId="33843E41">
      <w:pPr>
        <w:pStyle w:val="3"/>
        <w:keepNext w:val="0"/>
        <w:keepLines w:val="0"/>
        <w:widowControl/>
        <w:suppressLineNumbers w:val="0"/>
        <w:ind w:left="0" w:firstLine="0"/>
        <w:jc w:val="both"/>
        <w:rPr>
          <w:rFonts w:hint="default" w:eastAsiaTheme="minorEastAsia"/>
          <w:sz w:val="24"/>
          <w:szCs w:val="24"/>
          <w:lang w:val="en-US" w:eastAsia="zh-CN"/>
        </w:rPr>
      </w:pPr>
      <w:r>
        <w:rPr>
          <w:rFonts w:hint="eastAsia"/>
          <w:color w:val="000000"/>
          <w:sz w:val="24"/>
          <w:szCs w:val="24"/>
          <w:lang w:val="en-US" w:eastAsia="zh-CN"/>
        </w:rPr>
        <w:t>湘潭市</w:t>
      </w:r>
      <w:r>
        <w:rPr>
          <w:color w:val="000000"/>
          <w:sz w:val="24"/>
          <w:szCs w:val="24"/>
        </w:rPr>
        <w:t>雨湖区高岭路</w:t>
      </w:r>
      <w:r>
        <w:rPr>
          <w:rFonts w:hint="eastAsia"/>
          <w:color w:val="000000"/>
          <w:sz w:val="24"/>
          <w:szCs w:val="24"/>
          <w:lang w:val="en-US" w:eastAsia="zh-CN"/>
        </w:rPr>
        <w:t>2</w:t>
      </w:r>
      <w:r>
        <w:rPr>
          <w:color w:val="000000"/>
          <w:sz w:val="24"/>
          <w:szCs w:val="24"/>
        </w:rPr>
        <w:t>号</w:t>
      </w:r>
    </w:p>
    <w:p w14:paraId="78D035CD">
      <w:pPr>
        <w:keepNext w:val="0"/>
        <w:keepLines w:val="0"/>
        <w:widowControl/>
        <w:suppressLineNumbers w:val="0"/>
        <w:jc w:val="both"/>
        <w:rPr>
          <w:rFonts w:hint="default"/>
          <w:sz w:val="24"/>
          <w:szCs w:val="24"/>
          <w:lang w:val="en-US"/>
        </w:rPr>
      </w:pPr>
      <w:r>
        <w:rPr>
          <w:rStyle w:val="7"/>
          <w:rFonts w:ascii="宋体" w:hAnsi="宋体" w:eastAsia="宋体" w:cs="宋体"/>
          <w:kern w:val="0"/>
          <w:sz w:val="24"/>
          <w:szCs w:val="24"/>
          <w:lang w:val="en-US" w:eastAsia="zh-CN" w:bidi="ar"/>
        </w:rPr>
        <w:t>项目</w:t>
      </w:r>
      <w:r>
        <w:rPr>
          <w:rStyle w:val="7"/>
          <w:rFonts w:hint="eastAsia" w:ascii="宋体" w:hAnsi="宋体" w:eastAsia="宋体" w:cs="宋体"/>
          <w:kern w:val="0"/>
          <w:sz w:val="24"/>
          <w:szCs w:val="24"/>
          <w:lang w:val="en-US" w:eastAsia="zh-CN" w:bidi="ar"/>
        </w:rPr>
        <w:t>目标</w:t>
      </w:r>
    </w:p>
    <w:p w14:paraId="71EB282E">
      <w:pPr>
        <w:keepNext w:val="0"/>
        <w:keepLines w:val="0"/>
        <w:pageBreakBefore w:val="0"/>
        <w:widowControl w:val="0"/>
        <w:suppressLineNumbers w:val="0"/>
        <w:kinsoku/>
        <w:wordWrap/>
        <w:overflowPunct/>
        <w:topLinePunct w:val="0"/>
        <w:autoSpaceDE/>
        <w:autoSpaceDN/>
        <w:bidi w:val="0"/>
        <w:adjustRightInd/>
        <w:snapToGrid/>
        <w:spacing w:line="360" w:lineRule="exact"/>
        <w:jc w:val="both"/>
        <w:textAlignment w:val="auto"/>
        <w:rPr>
          <w:rFonts w:hint="eastAsia" w:ascii="新宋体" w:hAnsi="新宋体" w:eastAsia="新宋体" w:cs="新宋体"/>
          <w:color w:val="000000"/>
          <w:kern w:val="0"/>
          <w:sz w:val="24"/>
          <w:szCs w:val="24"/>
          <w:u w:val="none"/>
          <w:lang w:val="en-US" w:eastAsia="zh-CN" w:bidi="ar"/>
        </w:rPr>
      </w:pPr>
    </w:p>
    <w:p w14:paraId="181590B6">
      <w:pPr>
        <w:keepNext w:val="0"/>
        <w:keepLines w:val="0"/>
        <w:pageBreakBefore w:val="0"/>
        <w:widowControl w:val="0"/>
        <w:suppressLineNumbers w:val="0"/>
        <w:kinsoku/>
        <w:wordWrap/>
        <w:overflowPunct/>
        <w:topLinePunct w:val="0"/>
        <w:autoSpaceDE/>
        <w:autoSpaceDN/>
        <w:bidi w:val="0"/>
        <w:adjustRightInd/>
        <w:snapToGrid/>
        <w:spacing w:line="360" w:lineRule="exact"/>
        <w:jc w:val="both"/>
        <w:textAlignment w:val="auto"/>
        <w:rPr>
          <w:rFonts w:hint="eastAsia" w:ascii="仿宋" w:hAnsi="仿宋" w:eastAsia="仿宋" w:cs="仿宋"/>
          <w:color w:val="000000"/>
          <w:kern w:val="0"/>
          <w:sz w:val="24"/>
          <w:szCs w:val="24"/>
          <w:u w:val="none"/>
          <w:lang w:val="en-US" w:eastAsia="zh-CN" w:bidi="ar"/>
        </w:rPr>
      </w:pPr>
      <w:r>
        <w:rPr>
          <w:rFonts w:hint="eastAsia" w:ascii="新宋体" w:hAnsi="新宋体" w:eastAsia="新宋体" w:cs="新宋体"/>
          <w:color w:val="000000"/>
          <w:kern w:val="0"/>
          <w:sz w:val="24"/>
          <w:szCs w:val="24"/>
          <w:u w:val="none"/>
          <w:lang w:val="en-US" w:eastAsia="zh-CN" w:bidi="ar"/>
        </w:rPr>
        <w:t>为湘潭市工业贸易中等专业学校</w:t>
      </w:r>
      <w:r>
        <w:rPr>
          <w:rFonts w:hint="eastAsia" w:ascii="宋体" w:hAnsi="宋体" w:eastAsia="宋体" w:cs="宋体"/>
          <w:b w:val="0"/>
          <w:bCs/>
          <w:sz w:val="24"/>
          <w:szCs w:val="24"/>
          <w:lang w:val="en-US" w:eastAsia="zh-CN"/>
        </w:rPr>
        <w:t>机电一体化竞赛实训平台服务</w:t>
      </w:r>
      <w:r>
        <w:rPr>
          <w:rFonts w:hint="eastAsia" w:ascii="仿宋" w:hAnsi="仿宋" w:eastAsia="仿宋" w:cs="仿宋"/>
          <w:color w:val="000000"/>
          <w:kern w:val="0"/>
          <w:sz w:val="24"/>
          <w:szCs w:val="24"/>
          <w:u w:val="none"/>
          <w:lang w:val="en-US" w:eastAsia="zh-CN" w:bidi="ar"/>
        </w:rPr>
        <w:t>。</w:t>
      </w:r>
    </w:p>
    <w:p w14:paraId="4A6911E2">
      <w:pPr>
        <w:keepNext w:val="0"/>
        <w:keepLines w:val="0"/>
        <w:widowControl/>
        <w:suppressLineNumbers w:val="0"/>
        <w:jc w:val="both"/>
        <w:rPr>
          <w:rStyle w:val="7"/>
          <w:rFonts w:ascii="宋体" w:hAnsi="宋体" w:eastAsia="宋体" w:cs="宋体"/>
          <w:kern w:val="0"/>
          <w:sz w:val="24"/>
          <w:szCs w:val="24"/>
          <w:lang w:val="en-US" w:eastAsia="zh-CN" w:bidi="ar"/>
        </w:rPr>
      </w:pPr>
    </w:p>
    <w:p w14:paraId="34919D99">
      <w:pPr>
        <w:keepNext w:val="0"/>
        <w:keepLines w:val="0"/>
        <w:widowControl/>
        <w:suppressLineNumbers w:val="0"/>
        <w:jc w:val="both"/>
        <w:rPr>
          <w:sz w:val="24"/>
          <w:szCs w:val="24"/>
        </w:rPr>
      </w:pPr>
      <w:r>
        <w:rPr>
          <w:rStyle w:val="7"/>
          <w:rFonts w:ascii="宋体" w:hAnsi="宋体" w:eastAsia="宋体" w:cs="宋体"/>
          <w:kern w:val="0"/>
          <w:sz w:val="24"/>
          <w:szCs w:val="24"/>
          <w:lang w:val="en-US" w:eastAsia="zh-CN" w:bidi="ar"/>
        </w:rPr>
        <w:t>采购方式</w:t>
      </w:r>
    </w:p>
    <w:p w14:paraId="2E95A5D9">
      <w:pPr>
        <w:pStyle w:val="3"/>
        <w:keepNext w:val="0"/>
        <w:keepLines w:val="0"/>
        <w:widowControl/>
        <w:suppressLineNumbers w:val="0"/>
        <w:spacing w:line="26" w:lineRule="atLeast"/>
        <w:jc w:val="both"/>
        <w:rPr>
          <w:sz w:val="24"/>
          <w:szCs w:val="24"/>
        </w:rPr>
      </w:pPr>
      <w:r>
        <w:rPr>
          <w:color w:val="000000"/>
          <w:sz w:val="24"/>
          <w:szCs w:val="24"/>
        </w:rPr>
        <w:t>比选</w:t>
      </w:r>
    </w:p>
    <w:p w14:paraId="62D9E00A">
      <w:pPr>
        <w:keepNext w:val="0"/>
        <w:keepLines w:val="0"/>
        <w:widowControl/>
        <w:suppressLineNumbers w:val="0"/>
        <w:jc w:val="both"/>
        <w:rPr>
          <w:sz w:val="24"/>
          <w:szCs w:val="24"/>
        </w:rPr>
      </w:pPr>
      <w:r>
        <w:rPr>
          <w:rStyle w:val="7"/>
          <w:rFonts w:ascii="宋体" w:hAnsi="宋体" w:eastAsia="宋体" w:cs="宋体"/>
          <w:kern w:val="0"/>
          <w:sz w:val="24"/>
          <w:szCs w:val="24"/>
          <w:lang w:val="en-US" w:eastAsia="zh-CN" w:bidi="ar"/>
        </w:rPr>
        <w:t>采购需求</w:t>
      </w:r>
    </w:p>
    <w:p w14:paraId="285A1784">
      <w:pPr>
        <w:pStyle w:val="12"/>
        <w:jc w:val="left"/>
        <w:rPr>
          <w:rFonts w:hint="eastAsia" w:ascii="新宋体" w:hAnsi="新宋体" w:eastAsia="新宋体" w:cs="新宋体"/>
          <w:color w:val="000000"/>
          <w:sz w:val="24"/>
          <w:szCs w:val="24"/>
          <w:lang w:eastAsia="zh-CN"/>
        </w:rPr>
      </w:pPr>
    </w:p>
    <w:p w14:paraId="0424BC2A">
      <w:pPr>
        <w:pStyle w:val="12"/>
        <w:ind w:firstLine="480" w:firstLineChars="200"/>
        <w:jc w:val="left"/>
        <w:rPr>
          <w:rFonts w:hint="eastAsia"/>
        </w:rPr>
      </w:pPr>
      <w:r>
        <w:rPr>
          <w:rFonts w:hint="eastAsia" w:ascii="新宋体" w:hAnsi="新宋体" w:eastAsia="新宋体" w:cs="新宋体"/>
          <w:color w:val="000000"/>
          <w:sz w:val="24"/>
          <w:szCs w:val="24"/>
          <w:lang w:val="en-US" w:eastAsia="zh-CN"/>
        </w:rPr>
        <w:t>一、1.</w:t>
      </w:r>
      <w:r>
        <w:rPr>
          <w:rFonts w:hint="eastAsia"/>
        </w:rPr>
        <w:t>本项目要求是能达到中华人民共和国职业技能大赛水平的“机电一体化”相关的设备。供应商需提供设备制造商支持中华人民共和国职业技能大赛赛事的证明，并且能够提供含设备说明的历届大赛试题文件，响应文件内应提供证明文件。</w:t>
      </w:r>
    </w:p>
    <w:p w14:paraId="3A5CF90D">
      <w:pPr>
        <w:pStyle w:val="12"/>
        <w:ind w:firstLine="480" w:firstLineChars="200"/>
        <w:jc w:val="left"/>
        <w:rPr>
          <w:rFonts w:hint="eastAsia"/>
        </w:rPr>
      </w:pPr>
      <w:r>
        <w:rPr>
          <w:rFonts w:hint="eastAsia"/>
          <w:lang w:val="en-US" w:eastAsia="zh-CN"/>
        </w:rPr>
        <w:t>2</w:t>
      </w:r>
      <w:r>
        <w:rPr>
          <w:rFonts w:hint="eastAsia"/>
        </w:rPr>
        <w:t>.满足机电相关专业实训教学和技能培训需求，如、气动课程、PLC 课程、电驱动课程、传感器课程，以及机电设备安装与调试课程，可向社会公众提供新技术展示、体验服务。（提供承诺函，格式自拟）</w:t>
      </w:r>
    </w:p>
    <w:p w14:paraId="612A289B">
      <w:pPr>
        <w:pStyle w:val="12"/>
        <w:ind w:firstLine="480" w:firstLineChars="200"/>
        <w:jc w:val="left"/>
        <w:rPr>
          <w:rFonts w:hint="eastAsia"/>
        </w:rPr>
      </w:pPr>
      <w:r>
        <w:rPr>
          <w:rFonts w:hint="eastAsia"/>
          <w:lang w:val="en-US" w:eastAsia="zh-CN"/>
        </w:rPr>
        <w:t>3</w:t>
      </w:r>
      <w:r>
        <w:rPr>
          <w:rFonts w:hint="eastAsia"/>
        </w:rPr>
        <w:t>.为确保项目进度以及建设的稳定，供应商应提供实训室布局及设备摆放三维效果图，响应文件内需体现，同时此次采购设备与采购人现有设备可以无缝对接，可以搭配出新的组合方式，并能够满足机电一体化国赛的技术要求，响应文件内提供组合后的照片。</w:t>
      </w:r>
    </w:p>
    <w:p w14:paraId="3A7D2569">
      <w:pPr>
        <w:pStyle w:val="12"/>
        <w:ind w:firstLine="480" w:firstLineChars="200"/>
        <w:jc w:val="left"/>
        <w:rPr>
          <w:rFonts w:hint="eastAsia"/>
        </w:rPr>
      </w:pPr>
      <w:r>
        <w:rPr>
          <w:rFonts w:hint="eastAsia" w:ascii="宋体" w:hAnsi="宋体" w:eastAsia="宋体" w:cs="宋体"/>
          <w:b w:val="0"/>
          <w:bCs w:val="0"/>
          <w:lang w:val="en-US" w:eastAsia="zh-CN"/>
        </w:rPr>
        <w:t>4</w:t>
      </w:r>
      <w:r>
        <w:rPr>
          <w:rFonts w:hint="eastAsia"/>
        </w:rPr>
        <w:t>考虑设备的先进性要求，该系统为模块化系统，是由多个相对独立的模块组合而成，具备升级空间；（提供升级案例照片或视频证明材料），每个工作模块可以单独拼凑，提供工作站的组合列表和照片并加盖投标人公章。</w:t>
      </w:r>
    </w:p>
    <w:p w14:paraId="6C55C341">
      <w:pPr>
        <w:pStyle w:val="12"/>
        <w:ind w:firstLine="480" w:firstLineChars="200"/>
        <w:jc w:val="left"/>
        <w:rPr>
          <w:rFonts w:hint="eastAsia"/>
        </w:rPr>
      </w:pPr>
      <w:r>
        <w:rPr>
          <w:rFonts w:hint="eastAsia"/>
          <w:lang w:val="en-US" w:eastAsia="zh-CN"/>
        </w:rPr>
        <w:t>5</w:t>
      </w:r>
      <w:r>
        <w:rPr>
          <w:rFonts w:hint="eastAsia"/>
        </w:rPr>
        <w:t>.考虑设备多方面的参赛要求：设备应包含中华人民共和国第一届和第二届职业技能大赛机电一体化赛项相关的模块，在机电一体化方面达到国内一流，世界同步的水平。（提供承诺函，格式自拟）。</w:t>
      </w:r>
    </w:p>
    <w:p w14:paraId="4D4677DC">
      <w:pPr>
        <w:pStyle w:val="12"/>
        <w:ind w:firstLine="480" w:firstLineChars="200"/>
        <w:jc w:val="left"/>
        <w:rPr>
          <w:rFonts w:hint="eastAsia"/>
        </w:rPr>
      </w:pPr>
      <w:r>
        <w:rPr>
          <w:rFonts w:hint="eastAsia"/>
          <w:lang w:val="en-US" w:eastAsia="zh-CN"/>
        </w:rPr>
        <w:t>6</w:t>
      </w:r>
      <w:r>
        <w:rPr>
          <w:rFonts w:hint="eastAsia"/>
        </w:rPr>
        <w:t>.响应供应商或其货物制造商拥有独立的售后及培训机构可对企业院校开展培训，可完成中华人民共和国职业技能大赛及省赛选拔赛的培训需求，能够提供及时有效的售后服务和师资培训。响应文件中提供完整的项目培训方案。</w:t>
      </w:r>
    </w:p>
    <w:p w14:paraId="7C19872D">
      <w:pPr>
        <w:pStyle w:val="12"/>
        <w:ind w:firstLine="480" w:firstLineChars="200"/>
        <w:jc w:val="left"/>
        <w:rPr>
          <w:rFonts w:hint="eastAsia"/>
        </w:rPr>
      </w:pPr>
      <w:r>
        <w:rPr>
          <w:rFonts w:hint="eastAsia"/>
          <w:lang w:val="en-US" w:eastAsia="zh-CN"/>
        </w:rPr>
        <w:t>7</w:t>
      </w:r>
      <w:r>
        <w:rPr>
          <w:rFonts w:hint="eastAsia"/>
        </w:rPr>
        <w:t>.满足模块化教学和竞赛组合实训需求，除设备整体单元配套实训指导书以外，设备组成模块：杯体杯盖供料仓模块、电动摆动手模块、皮带输送模块还需独立配套专业实训指导书，内容需包含模块机构组成、工作流程、气动原理、电路部分和传感器部分等资料。投标文件提供实训指导书内容截图。</w:t>
      </w:r>
    </w:p>
    <w:p w14:paraId="3747E257">
      <w:pPr>
        <w:pStyle w:val="12"/>
        <w:ind w:firstLine="480" w:firstLineChars="200"/>
        <w:jc w:val="left"/>
        <w:rPr>
          <w:rFonts w:hint="eastAsia"/>
        </w:rPr>
      </w:pPr>
      <w:r>
        <w:rPr>
          <w:rFonts w:hint="eastAsia"/>
          <w:lang w:val="en-US" w:eastAsia="zh-CN"/>
        </w:rPr>
        <w:t>8</w:t>
      </w:r>
      <w:r>
        <w:rPr>
          <w:rFonts w:hint="eastAsia"/>
        </w:rPr>
        <w:t>.配套专业出版的教材要求基于所投产品控制模块箱和智能制造与 PLC 技术编著，教材截图与投标产品一致。教材配套 PPT、教学视频不低于 24 个。教材每个课程章节配置 1 个二维码（可通过手机扫码观看）。</w:t>
      </w:r>
    </w:p>
    <w:p w14:paraId="6718694A">
      <w:pPr>
        <w:pStyle w:val="12"/>
        <w:ind w:firstLine="480" w:firstLineChars="200"/>
        <w:jc w:val="left"/>
        <w:rPr>
          <w:rFonts w:hint="eastAsia"/>
        </w:rPr>
      </w:pPr>
      <w:r>
        <w:rPr>
          <w:rFonts w:hint="eastAsia"/>
          <w:lang w:val="en-US" w:eastAsia="zh-CN"/>
        </w:rPr>
        <w:t>9</w:t>
      </w:r>
      <w:r>
        <w:rPr>
          <w:rFonts w:hint="eastAsia"/>
        </w:rPr>
        <w:t>交流电源：单相三线～</w:t>
      </w:r>
      <w:r>
        <w:rPr>
          <w:rFonts w:hint="eastAsia" w:ascii="宋体" w:hAnsi="宋体" w:eastAsia="宋体" w:cs="宋体"/>
        </w:rPr>
        <w:t>220V±10%50Hz。</w:t>
      </w:r>
    </w:p>
    <w:p w14:paraId="76FF2B6A">
      <w:pPr>
        <w:pStyle w:val="12"/>
        <w:ind w:firstLine="480" w:firstLineChars="200"/>
        <w:jc w:val="left"/>
        <w:rPr>
          <w:rFonts w:hint="eastAsia" w:ascii="宋体" w:hAnsi="宋体" w:eastAsia="宋体" w:cs="宋体"/>
        </w:rPr>
      </w:pPr>
      <w:r>
        <w:rPr>
          <w:rFonts w:hint="eastAsia" w:ascii="宋体" w:hAnsi="宋体" w:eastAsia="宋体" w:cs="宋体"/>
          <w:lang w:val="en-US" w:eastAsia="zh-CN"/>
        </w:rPr>
        <w:t>10</w:t>
      </w:r>
      <w:r>
        <w:rPr>
          <w:rFonts w:hint="eastAsia" w:ascii="宋体" w:hAnsi="宋体" w:eastAsia="宋体" w:cs="宋体"/>
        </w:rPr>
        <w:t>.</w:t>
      </w:r>
      <w:r>
        <w:rPr>
          <w:rFonts w:hint="eastAsia"/>
        </w:rPr>
        <w:t>工作环境：温度-</w:t>
      </w:r>
      <w:r>
        <w:rPr>
          <w:rFonts w:hint="eastAsia" w:ascii="宋体" w:hAnsi="宋体" w:eastAsia="宋体" w:cs="宋体"/>
        </w:rPr>
        <w:t>10～50℃环境湿度≤90%无水珠凝结。</w:t>
      </w:r>
    </w:p>
    <w:p w14:paraId="42E7A1DF">
      <w:pPr>
        <w:pStyle w:val="12"/>
        <w:ind w:firstLine="480" w:firstLineChars="200"/>
        <w:jc w:val="left"/>
        <w:rPr>
          <w:rFonts w:hint="eastAsia" w:ascii="宋体" w:hAnsi="宋体" w:eastAsia="宋体" w:cs="宋体"/>
        </w:rPr>
      </w:pPr>
      <w:r>
        <w:rPr>
          <w:rFonts w:hint="eastAsia" w:ascii="宋体" w:hAnsi="宋体" w:eastAsia="宋体" w:cs="宋体"/>
          <w:lang w:val="en-US" w:eastAsia="zh-CN"/>
        </w:rPr>
        <w:t>11</w:t>
      </w:r>
      <w:r>
        <w:rPr>
          <w:rFonts w:hint="eastAsia" w:ascii="宋体" w:hAnsi="宋体" w:eastAsia="宋体" w:cs="宋体"/>
        </w:rPr>
        <w:t>.整体外形尺寸≥1400mm×700mm×1600mm（长×宽×高）。</w:t>
      </w:r>
    </w:p>
    <w:p w14:paraId="3BD28E92">
      <w:pPr>
        <w:pStyle w:val="12"/>
        <w:ind w:firstLine="480" w:firstLineChars="200"/>
        <w:jc w:val="left"/>
        <w:rPr>
          <w:rFonts w:hint="eastAsia" w:ascii="宋体" w:hAnsi="宋体" w:eastAsia="宋体" w:cs="宋体"/>
        </w:rPr>
      </w:pPr>
      <w:r>
        <w:rPr>
          <w:rFonts w:hint="eastAsia" w:ascii="宋体" w:hAnsi="宋体" w:eastAsia="宋体" w:cs="宋体"/>
        </w:rPr>
        <w:t>1</w:t>
      </w:r>
      <w:r>
        <w:rPr>
          <w:rFonts w:hint="eastAsia" w:ascii="宋体" w:hAnsi="宋体" w:eastAsia="宋体" w:cs="宋体"/>
          <w:lang w:val="en-US" w:eastAsia="zh-CN"/>
        </w:rPr>
        <w:t>2</w:t>
      </w:r>
      <w:r>
        <w:rPr>
          <w:rFonts w:hint="eastAsia" w:ascii="宋体" w:hAnsi="宋体" w:eastAsia="宋体" w:cs="宋体"/>
        </w:rPr>
        <w:t>装置容量：≤3.0kVA。</w:t>
      </w:r>
    </w:p>
    <w:p w14:paraId="6F534295">
      <w:pPr>
        <w:pStyle w:val="12"/>
        <w:jc w:val="left"/>
        <w:rPr>
          <w:rFonts w:hint="eastAsia" w:ascii="新宋体" w:hAnsi="新宋体" w:eastAsia="新宋体" w:cs="新宋体"/>
          <w:sz w:val="24"/>
          <w:szCs w:val="24"/>
          <w:lang w:eastAsia="zh-CN"/>
        </w:rPr>
      </w:pPr>
      <w:r>
        <w:rPr>
          <w:rFonts w:hint="eastAsia" w:ascii="新宋体" w:hAnsi="新宋体" w:eastAsia="新宋体" w:cs="新宋体"/>
          <w:color w:val="000000"/>
          <w:kern w:val="0"/>
          <w:sz w:val="24"/>
          <w:szCs w:val="24"/>
          <w:u w:val="none"/>
          <w:lang w:val="en-US" w:eastAsia="zh-CN" w:bidi="ar"/>
        </w:rPr>
        <w:t xml:space="preserve"> </w:t>
      </w:r>
    </w:p>
    <w:p w14:paraId="78CDB3F8">
      <w:pPr>
        <w:keepNext w:val="0"/>
        <w:keepLines w:val="0"/>
        <w:widowControl/>
        <w:suppressLineNumbers w:val="0"/>
        <w:jc w:val="both"/>
        <w:rPr>
          <w:sz w:val="24"/>
          <w:szCs w:val="24"/>
        </w:rPr>
      </w:pPr>
      <w:r>
        <w:rPr>
          <w:rStyle w:val="7"/>
          <w:rFonts w:ascii="宋体" w:hAnsi="宋体" w:eastAsia="宋体" w:cs="宋体"/>
          <w:kern w:val="0"/>
          <w:sz w:val="24"/>
          <w:szCs w:val="24"/>
          <w:lang w:val="en-US" w:eastAsia="zh-CN" w:bidi="ar"/>
        </w:rPr>
        <w:t>合同履行期限</w:t>
      </w:r>
    </w:p>
    <w:p w14:paraId="4E35D899">
      <w:pPr>
        <w:keepNext w:val="0"/>
        <w:keepLines w:val="0"/>
        <w:pageBreakBefore w:val="0"/>
        <w:widowControl/>
        <w:suppressLineNumbers w:val="0"/>
        <w:kinsoku/>
        <w:wordWrap/>
        <w:overflowPunct/>
        <w:topLinePunct w:val="0"/>
        <w:autoSpaceDE/>
        <w:autoSpaceDN/>
        <w:bidi w:val="0"/>
        <w:adjustRightInd/>
        <w:snapToGrid/>
        <w:spacing w:line="240" w:lineRule="auto"/>
        <w:ind w:firstLine="480" w:firstLineChars="200"/>
        <w:jc w:val="left"/>
        <w:textAlignment w:val="auto"/>
        <w:rPr>
          <w:color w:val="000000"/>
          <w:sz w:val="24"/>
          <w:szCs w:val="24"/>
        </w:rPr>
      </w:pPr>
    </w:p>
    <w:p w14:paraId="2992E1E6">
      <w:pPr>
        <w:keepNext w:val="0"/>
        <w:keepLines w:val="0"/>
        <w:pageBreakBefore w:val="0"/>
        <w:widowControl/>
        <w:suppressLineNumbers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color w:val="000000"/>
          <w:kern w:val="0"/>
          <w:sz w:val="24"/>
          <w:szCs w:val="24"/>
          <w:u w:val="none"/>
          <w:lang w:val="en-US" w:eastAsia="zh-CN" w:bidi="ar"/>
        </w:rPr>
      </w:pPr>
      <w:r>
        <w:rPr>
          <w:color w:val="000000"/>
          <w:sz w:val="24"/>
          <w:szCs w:val="24"/>
        </w:rPr>
        <w:t>自合同签订之日起至项目完成止（实际以合同签订时间为准）</w:t>
      </w:r>
      <w:r>
        <w:rPr>
          <w:rFonts w:hint="eastAsia" w:ascii="宋体" w:hAnsi="宋体" w:eastAsia="宋体" w:cs="宋体"/>
          <w:color w:val="000000"/>
          <w:kern w:val="0"/>
          <w:sz w:val="24"/>
          <w:szCs w:val="24"/>
          <w:u w:val="none"/>
          <w:lang w:val="en-US" w:eastAsia="zh-CN" w:bidi="ar"/>
        </w:rPr>
        <w:t>该期限为项目建设运维服务期，提供免费上门运维服务。</w:t>
      </w:r>
    </w:p>
    <w:p w14:paraId="2A07E6F9">
      <w:pPr>
        <w:keepNext w:val="0"/>
        <w:keepLines w:val="0"/>
        <w:widowControl/>
        <w:suppressLineNumbers w:val="0"/>
        <w:jc w:val="both"/>
        <w:rPr>
          <w:rStyle w:val="7"/>
          <w:rFonts w:hint="eastAsia" w:ascii="宋体" w:hAnsi="宋体" w:eastAsia="宋体" w:cs="宋体"/>
          <w:kern w:val="0"/>
          <w:sz w:val="24"/>
          <w:szCs w:val="24"/>
          <w:lang w:val="en-US" w:eastAsia="zh-CN" w:bidi="ar"/>
        </w:rPr>
      </w:pPr>
    </w:p>
    <w:p w14:paraId="7931131A">
      <w:pPr>
        <w:keepNext w:val="0"/>
        <w:keepLines w:val="0"/>
        <w:widowControl/>
        <w:suppressLineNumbers w:val="0"/>
        <w:jc w:val="both"/>
        <w:rPr>
          <w:sz w:val="24"/>
          <w:szCs w:val="24"/>
        </w:rPr>
      </w:pPr>
      <w:r>
        <w:rPr>
          <w:rStyle w:val="7"/>
          <w:rFonts w:hint="eastAsia" w:ascii="宋体" w:hAnsi="宋体" w:eastAsia="宋体" w:cs="宋体"/>
          <w:kern w:val="0"/>
          <w:sz w:val="24"/>
          <w:szCs w:val="24"/>
          <w:lang w:val="en-US" w:eastAsia="zh-CN" w:bidi="ar"/>
        </w:rPr>
        <w:t>服务</w:t>
      </w:r>
      <w:r>
        <w:rPr>
          <w:rStyle w:val="7"/>
          <w:rFonts w:ascii="宋体" w:hAnsi="宋体" w:eastAsia="宋体" w:cs="宋体"/>
          <w:kern w:val="0"/>
          <w:sz w:val="24"/>
          <w:szCs w:val="24"/>
          <w:lang w:val="en-US" w:eastAsia="zh-CN" w:bidi="ar"/>
        </w:rPr>
        <w:t>期限</w:t>
      </w:r>
    </w:p>
    <w:p w14:paraId="316C1BEA">
      <w:pPr>
        <w:pStyle w:val="3"/>
        <w:keepNext w:val="0"/>
        <w:keepLines w:val="0"/>
        <w:widowControl/>
        <w:suppressLineNumbers w:val="0"/>
        <w:spacing w:line="26" w:lineRule="atLeast"/>
        <w:ind w:left="0" w:firstLine="0"/>
        <w:jc w:val="left"/>
        <w:rPr>
          <w:sz w:val="24"/>
          <w:szCs w:val="24"/>
        </w:rPr>
      </w:pPr>
      <w:r>
        <w:rPr>
          <w:rFonts w:hint="eastAsia" w:ascii="宋体" w:hAnsi="宋体" w:eastAsia="宋体" w:cs="宋体"/>
          <w:kern w:val="0"/>
          <w:sz w:val="24"/>
          <w:szCs w:val="24"/>
          <w:lang w:val="en-US" w:eastAsia="zh-CN" w:bidi="ar"/>
        </w:rPr>
        <w:t>一年</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Style w:val="7"/>
          <w:rFonts w:ascii="宋体" w:hAnsi="宋体" w:eastAsia="宋体" w:cs="宋体"/>
          <w:kern w:val="0"/>
          <w:sz w:val="24"/>
          <w:szCs w:val="24"/>
          <w:lang w:val="en-US" w:eastAsia="zh-CN" w:bidi="ar"/>
        </w:rPr>
        <w:t>比选要求</w:t>
      </w:r>
    </w:p>
    <w:p w14:paraId="2EA68CCB">
      <w:pPr>
        <w:pStyle w:val="3"/>
        <w:keepNext w:val="0"/>
        <w:keepLines w:val="0"/>
        <w:widowControl/>
        <w:numPr>
          <w:ilvl w:val="0"/>
          <w:numId w:val="1"/>
        </w:numPr>
        <w:suppressLineNumbers w:val="0"/>
        <w:spacing w:line="26" w:lineRule="atLeast"/>
        <w:ind w:left="0" w:firstLine="510"/>
        <w:jc w:val="both"/>
        <w:rPr>
          <w:color w:val="000000"/>
          <w:sz w:val="24"/>
          <w:szCs w:val="24"/>
        </w:rPr>
      </w:pPr>
      <w:r>
        <w:rPr>
          <w:rFonts w:hint="eastAsia"/>
          <w:color w:val="000000"/>
          <w:sz w:val="24"/>
          <w:szCs w:val="24"/>
          <w:lang w:val="en-US" w:eastAsia="zh-CN"/>
        </w:rPr>
        <w:t>服务机构</w:t>
      </w:r>
      <w:r>
        <w:rPr>
          <w:color w:val="000000"/>
          <w:sz w:val="24"/>
          <w:szCs w:val="24"/>
        </w:rPr>
        <w:t>必须是在中华人民共和国境内注册登记的法人或其他组织。（具有营业执照，提供有效期内营业执照（三证合一）</w:t>
      </w:r>
      <w:r>
        <w:rPr>
          <w:rFonts w:hint="eastAsia"/>
          <w:color w:val="000000"/>
          <w:sz w:val="24"/>
          <w:szCs w:val="24"/>
          <w:lang w:eastAsia="zh-CN"/>
        </w:rPr>
        <w:t>，</w:t>
      </w:r>
      <w:r>
        <w:rPr>
          <w:rFonts w:hint="eastAsia"/>
          <w:color w:val="000000"/>
          <w:sz w:val="24"/>
          <w:szCs w:val="24"/>
          <w:lang w:val="en-US" w:eastAsia="zh-CN"/>
        </w:rPr>
        <w:t>征信记录</w:t>
      </w:r>
      <w:r>
        <w:rPr>
          <w:color w:val="000000"/>
          <w:sz w:val="24"/>
          <w:szCs w:val="24"/>
        </w:rPr>
        <w:t>复印件，营业范围必须含有相关信息）。</w:t>
      </w:r>
    </w:p>
    <w:p w14:paraId="5E5ED1CA">
      <w:pPr>
        <w:pStyle w:val="3"/>
        <w:keepNext w:val="0"/>
        <w:keepLines w:val="0"/>
        <w:widowControl/>
        <w:numPr>
          <w:ilvl w:val="0"/>
          <w:numId w:val="1"/>
        </w:numPr>
        <w:suppressLineNumbers w:val="0"/>
        <w:spacing w:line="26" w:lineRule="atLeast"/>
        <w:ind w:left="0" w:firstLine="510"/>
        <w:jc w:val="both"/>
        <w:rPr>
          <w:rFonts w:hint="eastAsia" w:ascii="宋体" w:hAnsi="宋体" w:eastAsia="宋体" w:cs="宋体"/>
          <w:sz w:val="24"/>
          <w:szCs w:val="24"/>
        </w:rPr>
      </w:pPr>
      <w:r>
        <w:rPr>
          <w:rFonts w:hint="eastAsia"/>
          <w:color w:val="000000"/>
          <w:sz w:val="24"/>
          <w:szCs w:val="24"/>
          <w:lang w:val="en-US" w:eastAsia="zh-CN"/>
        </w:rPr>
        <w:t>服务机构</w:t>
      </w:r>
      <w:r>
        <w:rPr>
          <w:color w:val="000000"/>
          <w:sz w:val="24"/>
          <w:szCs w:val="24"/>
        </w:rPr>
        <w:t>在近三年内在经营活动中</w:t>
      </w:r>
      <w:r>
        <w:rPr>
          <w:rFonts w:hint="eastAsia"/>
          <w:color w:val="000000"/>
          <w:sz w:val="24"/>
          <w:szCs w:val="24"/>
        </w:rPr>
        <w:t>无重大事故</w:t>
      </w:r>
      <w:r>
        <w:rPr>
          <w:rFonts w:hint="eastAsia"/>
          <w:color w:val="000000"/>
          <w:sz w:val="24"/>
          <w:szCs w:val="24"/>
          <w:lang w:eastAsia="zh-CN"/>
        </w:rPr>
        <w:t>，</w:t>
      </w:r>
      <w:r>
        <w:rPr>
          <w:rFonts w:hint="eastAsia"/>
          <w:color w:val="000000"/>
          <w:sz w:val="24"/>
          <w:szCs w:val="24"/>
          <w:lang w:val="en-US" w:eastAsia="zh-CN"/>
        </w:rPr>
        <w:t>无</w:t>
      </w:r>
      <w:r>
        <w:rPr>
          <w:color w:val="000000"/>
          <w:sz w:val="24"/>
          <w:szCs w:val="24"/>
        </w:rPr>
        <w:t>重大违法记录（包括无行政处罚、无行贿犯罪记录）的书面记录或说明。</w:t>
      </w:r>
    </w:p>
    <w:p w14:paraId="608A5994">
      <w:pPr>
        <w:keepNext w:val="0"/>
        <w:keepLines w:val="0"/>
        <w:pageBreakBefore w:val="0"/>
        <w:widowControl w:val="0"/>
        <w:numPr>
          <w:ilvl w:val="0"/>
          <w:numId w:val="1"/>
        </w:numPr>
        <w:suppressLineNumbers w:val="0"/>
        <w:kinsoku/>
        <w:wordWrap/>
        <w:overflowPunct/>
        <w:topLinePunct w:val="0"/>
        <w:autoSpaceDE/>
        <w:autoSpaceDN/>
        <w:bidi w:val="0"/>
        <w:adjustRightInd/>
        <w:snapToGrid/>
        <w:spacing w:line="288" w:lineRule="auto"/>
        <w:ind w:left="0" w:leftChars="0" w:firstLine="510" w:firstLineChars="0"/>
        <w:jc w:val="both"/>
        <w:textAlignment w:val="auto"/>
        <w:rPr>
          <w:rFonts w:hint="eastAsia" w:ascii="宋体" w:hAnsi="宋体" w:eastAsia="宋体" w:cs="宋体"/>
          <w:color w:val="000000"/>
          <w:kern w:val="0"/>
          <w:sz w:val="24"/>
          <w:szCs w:val="24"/>
          <w:u w:val="none"/>
          <w:lang w:val="en-US" w:eastAsia="zh-CN" w:bidi="ar"/>
        </w:rPr>
      </w:pPr>
      <w:r>
        <w:rPr>
          <w:rFonts w:hint="eastAsia" w:ascii="宋体" w:hAnsi="宋体" w:eastAsia="宋体" w:cs="宋体"/>
          <w:color w:val="000000"/>
          <w:kern w:val="0"/>
          <w:sz w:val="24"/>
          <w:szCs w:val="24"/>
          <w:u w:val="none"/>
          <w:lang w:val="en-US" w:eastAsia="zh-CN" w:bidi="ar"/>
        </w:rPr>
        <w:t>响应与维修服务：在服务期内接到学校通知后12小时内响应；一般故障24 小时内到场、72 小时内修复；平台严重故障无法及时修复时，及时沟通并提供替代方案，尽快完成修复。</w:t>
      </w:r>
    </w:p>
    <w:p w14:paraId="16E309F4">
      <w:pPr>
        <w:keepNext w:val="0"/>
        <w:keepLines w:val="0"/>
        <w:pageBreakBefore w:val="0"/>
        <w:widowControl w:val="0"/>
        <w:numPr>
          <w:ilvl w:val="0"/>
          <w:numId w:val="1"/>
        </w:numPr>
        <w:suppressLineNumbers w:val="0"/>
        <w:kinsoku/>
        <w:wordWrap/>
        <w:overflowPunct/>
        <w:topLinePunct w:val="0"/>
        <w:autoSpaceDE/>
        <w:autoSpaceDN/>
        <w:bidi w:val="0"/>
        <w:adjustRightInd/>
        <w:snapToGrid/>
        <w:spacing w:line="288" w:lineRule="auto"/>
        <w:ind w:left="0" w:leftChars="0" w:firstLine="510" w:firstLineChars="0"/>
        <w:jc w:val="both"/>
        <w:textAlignment w:val="auto"/>
        <w:rPr>
          <w:sz w:val="24"/>
          <w:szCs w:val="24"/>
        </w:rPr>
      </w:pPr>
      <w:r>
        <w:rPr>
          <w:rFonts w:hint="eastAsia"/>
          <w:color w:val="000000"/>
          <w:sz w:val="24"/>
          <w:szCs w:val="24"/>
          <w:lang w:val="en-US" w:eastAsia="zh-CN"/>
        </w:rPr>
        <w:t>按要求提供报价。</w:t>
      </w:r>
    </w:p>
    <w:p w14:paraId="0A032445">
      <w:pPr>
        <w:keepNext w:val="0"/>
        <w:keepLines w:val="0"/>
        <w:widowControl/>
        <w:suppressLineNumbers w:val="0"/>
        <w:jc w:val="both"/>
        <w:rPr>
          <w:rStyle w:val="7"/>
          <w:rFonts w:ascii="宋体" w:hAnsi="宋体" w:eastAsia="宋体" w:cs="宋体"/>
          <w:kern w:val="0"/>
          <w:sz w:val="24"/>
          <w:szCs w:val="24"/>
          <w:lang w:val="en-US" w:eastAsia="zh-CN" w:bidi="ar"/>
        </w:rPr>
      </w:pPr>
    </w:p>
    <w:p w14:paraId="1A106579">
      <w:pPr>
        <w:keepNext w:val="0"/>
        <w:keepLines w:val="0"/>
        <w:widowControl/>
        <w:suppressLineNumbers w:val="0"/>
        <w:jc w:val="both"/>
        <w:rPr>
          <w:sz w:val="24"/>
          <w:szCs w:val="24"/>
        </w:rPr>
      </w:pPr>
      <w:r>
        <w:rPr>
          <w:rStyle w:val="7"/>
          <w:rFonts w:ascii="宋体" w:hAnsi="宋体" w:eastAsia="宋体" w:cs="宋体"/>
          <w:kern w:val="0"/>
          <w:sz w:val="24"/>
          <w:szCs w:val="24"/>
          <w:lang w:val="en-US" w:eastAsia="zh-CN" w:bidi="ar"/>
        </w:rPr>
        <w:t>报价文件的构成</w:t>
      </w:r>
    </w:p>
    <w:p w14:paraId="2059B2A8">
      <w:pPr>
        <w:pStyle w:val="3"/>
        <w:keepNext w:val="0"/>
        <w:keepLines w:val="0"/>
        <w:widowControl/>
        <w:suppressLineNumbers w:val="0"/>
        <w:spacing w:line="26" w:lineRule="atLeast"/>
        <w:ind w:firstLine="480" w:firstLineChars="200"/>
        <w:jc w:val="both"/>
        <w:rPr>
          <w:sz w:val="24"/>
          <w:szCs w:val="24"/>
        </w:rPr>
      </w:pPr>
      <w:r>
        <w:rPr>
          <w:color w:val="000000"/>
          <w:sz w:val="24"/>
          <w:szCs w:val="24"/>
        </w:rPr>
        <w:t>（</w:t>
      </w:r>
      <w:r>
        <w:rPr>
          <w:rFonts w:hint="eastAsia"/>
          <w:color w:val="000000"/>
          <w:sz w:val="24"/>
          <w:szCs w:val="24"/>
          <w:lang w:val="en-US" w:eastAsia="zh-CN"/>
        </w:rPr>
        <w:t>一</w:t>
      </w:r>
      <w:r>
        <w:rPr>
          <w:color w:val="000000"/>
          <w:sz w:val="24"/>
          <w:szCs w:val="24"/>
        </w:rPr>
        <w:t>）</w:t>
      </w:r>
      <w:r>
        <w:rPr>
          <w:rFonts w:hint="eastAsia"/>
          <w:color w:val="000000"/>
          <w:sz w:val="24"/>
          <w:szCs w:val="24"/>
          <w:lang w:val="en-US" w:eastAsia="zh-CN"/>
        </w:rPr>
        <w:t>服务机构</w:t>
      </w:r>
      <w:r>
        <w:rPr>
          <w:color w:val="000000"/>
          <w:sz w:val="24"/>
          <w:szCs w:val="24"/>
        </w:rPr>
        <w:t>基本情况表。【格式自拟】</w:t>
      </w:r>
    </w:p>
    <w:p w14:paraId="62BEBCFD">
      <w:pPr>
        <w:pStyle w:val="3"/>
        <w:keepNext w:val="0"/>
        <w:keepLines w:val="0"/>
        <w:widowControl/>
        <w:suppressLineNumbers w:val="0"/>
        <w:spacing w:line="26" w:lineRule="atLeast"/>
        <w:ind w:firstLine="480" w:firstLineChars="200"/>
        <w:jc w:val="both"/>
        <w:rPr>
          <w:sz w:val="24"/>
          <w:szCs w:val="24"/>
        </w:rPr>
      </w:pPr>
      <w:r>
        <w:rPr>
          <w:color w:val="000000"/>
          <w:sz w:val="24"/>
          <w:szCs w:val="24"/>
        </w:rPr>
        <w:t>（</w:t>
      </w:r>
      <w:r>
        <w:rPr>
          <w:rFonts w:hint="eastAsia"/>
          <w:color w:val="000000"/>
          <w:sz w:val="24"/>
          <w:szCs w:val="24"/>
          <w:lang w:val="en-US" w:eastAsia="zh-CN"/>
        </w:rPr>
        <w:t>二</w:t>
      </w:r>
      <w:r>
        <w:rPr>
          <w:color w:val="000000"/>
          <w:sz w:val="24"/>
          <w:szCs w:val="24"/>
        </w:rPr>
        <w:t>）</w:t>
      </w:r>
      <w:r>
        <w:rPr>
          <w:rFonts w:hint="eastAsia"/>
          <w:color w:val="000000"/>
          <w:sz w:val="24"/>
          <w:szCs w:val="24"/>
          <w:lang w:val="en-US" w:eastAsia="zh-CN"/>
        </w:rPr>
        <w:t>服务机构</w:t>
      </w:r>
      <w:r>
        <w:rPr>
          <w:color w:val="000000"/>
          <w:sz w:val="24"/>
          <w:szCs w:val="24"/>
        </w:rPr>
        <w:t>必须是在中华人民共和国境内注册登记的法人或其他组织。（具有营业执照，提供有效期内营业执照（三证合一）复印件。</w:t>
      </w:r>
    </w:p>
    <w:p w14:paraId="5C042FED">
      <w:pPr>
        <w:pStyle w:val="3"/>
        <w:keepNext w:val="0"/>
        <w:keepLines w:val="0"/>
        <w:widowControl/>
        <w:suppressLineNumbers w:val="0"/>
        <w:spacing w:line="26" w:lineRule="atLeast"/>
        <w:ind w:firstLine="480" w:firstLineChars="200"/>
        <w:jc w:val="both"/>
        <w:rPr>
          <w:sz w:val="24"/>
          <w:szCs w:val="24"/>
        </w:rPr>
      </w:pPr>
      <w:r>
        <w:rPr>
          <w:color w:val="000000"/>
          <w:sz w:val="24"/>
          <w:szCs w:val="24"/>
        </w:rPr>
        <w:t>（</w:t>
      </w:r>
      <w:r>
        <w:rPr>
          <w:rFonts w:hint="eastAsia"/>
          <w:color w:val="000000"/>
          <w:sz w:val="24"/>
          <w:szCs w:val="24"/>
          <w:lang w:val="en-US" w:eastAsia="zh-CN"/>
        </w:rPr>
        <w:t>三</w:t>
      </w:r>
      <w:r>
        <w:rPr>
          <w:color w:val="000000"/>
          <w:sz w:val="24"/>
          <w:szCs w:val="24"/>
        </w:rPr>
        <w:t>）符合《中华人民共和国政府采购法》第二十二条规定的</w:t>
      </w:r>
      <w:r>
        <w:rPr>
          <w:rFonts w:hint="eastAsia"/>
          <w:color w:val="000000"/>
          <w:sz w:val="24"/>
          <w:szCs w:val="24"/>
          <w:lang w:val="en-US" w:eastAsia="zh-CN"/>
        </w:rPr>
        <w:t>机构</w:t>
      </w:r>
      <w:r>
        <w:rPr>
          <w:color w:val="000000"/>
          <w:sz w:val="24"/>
          <w:szCs w:val="24"/>
        </w:rPr>
        <w:t>参加采购活动应当具备的条件。【格式自拟】</w:t>
      </w:r>
    </w:p>
    <w:p w14:paraId="7B97B89A">
      <w:pPr>
        <w:pStyle w:val="3"/>
        <w:keepNext w:val="0"/>
        <w:keepLines w:val="0"/>
        <w:widowControl/>
        <w:suppressLineNumbers w:val="0"/>
        <w:spacing w:line="26" w:lineRule="atLeast"/>
        <w:ind w:firstLine="480" w:firstLineChars="200"/>
        <w:jc w:val="both"/>
        <w:rPr>
          <w:sz w:val="24"/>
          <w:szCs w:val="24"/>
        </w:rPr>
      </w:pPr>
      <w:r>
        <w:rPr>
          <w:color w:val="000000"/>
          <w:sz w:val="24"/>
          <w:szCs w:val="24"/>
        </w:rPr>
        <w:t>（</w:t>
      </w:r>
      <w:r>
        <w:rPr>
          <w:rFonts w:hint="eastAsia"/>
          <w:color w:val="000000"/>
          <w:sz w:val="24"/>
          <w:szCs w:val="24"/>
          <w:lang w:val="en-US" w:eastAsia="zh-CN"/>
        </w:rPr>
        <w:t>四</w:t>
      </w:r>
      <w:r>
        <w:rPr>
          <w:color w:val="000000"/>
          <w:sz w:val="24"/>
          <w:szCs w:val="24"/>
        </w:rPr>
        <w:t>）</w:t>
      </w:r>
      <w:r>
        <w:rPr>
          <w:rFonts w:hint="eastAsia"/>
          <w:color w:val="000000"/>
          <w:sz w:val="24"/>
          <w:szCs w:val="24"/>
          <w:lang w:val="en-US" w:eastAsia="zh-CN"/>
        </w:rPr>
        <w:t>服务机构</w:t>
      </w:r>
      <w:r>
        <w:rPr>
          <w:color w:val="000000"/>
          <w:sz w:val="24"/>
          <w:szCs w:val="24"/>
        </w:rPr>
        <w:t>在近三年内在经营活动中没有重大违法记录（包括无行政处罚、无行贿犯罪记录）的书面记录或说明。【格式自拟】</w:t>
      </w:r>
    </w:p>
    <w:p w14:paraId="5DA6709C">
      <w:pPr>
        <w:pStyle w:val="3"/>
        <w:keepNext w:val="0"/>
        <w:keepLines w:val="0"/>
        <w:widowControl/>
        <w:suppressLineNumbers w:val="0"/>
        <w:spacing w:line="26" w:lineRule="atLeast"/>
        <w:ind w:left="0" w:firstLine="510"/>
        <w:jc w:val="both"/>
        <w:rPr>
          <w:sz w:val="24"/>
          <w:szCs w:val="24"/>
        </w:rPr>
      </w:pPr>
      <w:r>
        <w:rPr>
          <w:color w:val="000000"/>
          <w:sz w:val="24"/>
          <w:szCs w:val="24"/>
        </w:rPr>
        <w:t>（</w:t>
      </w:r>
      <w:r>
        <w:rPr>
          <w:rFonts w:hint="eastAsia"/>
          <w:color w:val="000000"/>
          <w:sz w:val="24"/>
          <w:szCs w:val="24"/>
          <w:lang w:val="en-US" w:eastAsia="zh-CN"/>
        </w:rPr>
        <w:t>五</w:t>
      </w:r>
      <w:r>
        <w:rPr>
          <w:color w:val="000000"/>
          <w:sz w:val="24"/>
          <w:szCs w:val="24"/>
        </w:rPr>
        <w:t>）其他认为需要提供的资料。（包括但不限于人员、业绩和设备设施等等）【格式自拟】</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Style w:val="7"/>
          <w:rFonts w:ascii="宋体" w:hAnsi="宋体" w:eastAsia="宋体" w:cs="宋体"/>
          <w:kern w:val="0"/>
          <w:sz w:val="24"/>
          <w:szCs w:val="24"/>
          <w:lang w:val="en-US" w:eastAsia="zh-CN" w:bidi="ar"/>
        </w:rPr>
        <w:t>提交报价文件的时间及方式</w:t>
      </w:r>
    </w:p>
    <w:p w14:paraId="676D23A9">
      <w:pPr>
        <w:pStyle w:val="3"/>
        <w:keepNext w:val="0"/>
        <w:keepLines w:val="0"/>
        <w:widowControl/>
        <w:suppressLineNumbers w:val="0"/>
        <w:spacing w:line="26" w:lineRule="atLeast"/>
        <w:ind w:left="0" w:firstLine="510"/>
        <w:jc w:val="both"/>
        <w:rPr>
          <w:rFonts w:hint="eastAsia" w:ascii="宋体" w:hAnsi="宋体" w:eastAsia="宋体" w:cs="宋体"/>
          <w:sz w:val="24"/>
          <w:szCs w:val="24"/>
        </w:rPr>
      </w:pPr>
      <w:r>
        <w:rPr>
          <w:rFonts w:hint="eastAsia" w:ascii="宋体" w:hAnsi="宋体" w:eastAsia="宋体" w:cs="宋体"/>
          <w:color w:val="000000"/>
          <w:sz w:val="24"/>
          <w:szCs w:val="24"/>
        </w:rPr>
        <w:t>（一）时间：2026年</w:t>
      </w:r>
      <w:r>
        <w:rPr>
          <w:rFonts w:hint="eastAsia" w:ascii="宋体" w:hAnsi="宋体" w:eastAsia="宋体" w:cs="宋体"/>
          <w:color w:val="000000"/>
          <w:sz w:val="24"/>
          <w:szCs w:val="24"/>
          <w:lang w:val="en-US" w:eastAsia="zh-CN"/>
        </w:rPr>
        <w:t>10</w:t>
      </w:r>
      <w:r>
        <w:rPr>
          <w:rFonts w:hint="eastAsia" w:ascii="宋体" w:hAnsi="宋体" w:eastAsia="宋体" w:cs="宋体"/>
          <w:color w:val="000000"/>
          <w:sz w:val="24"/>
          <w:szCs w:val="24"/>
        </w:rPr>
        <w:t>月</w:t>
      </w:r>
      <w:r>
        <w:rPr>
          <w:rFonts w:hint="eastAsia" w:ascii="宋体" w:hAnsi="宋体" w:eastAsia="宋体" w:cs="宋体"/>
          <w:color w:val="000000"/>
          <w:sz w:val="24"/>
          <w:szCs w:val="24"/>
          <w:lang w:val="en-US" w:eastAsia="zh-CN"/>
        </w:rPr>
        <w:t>8</w:t>
      </w:r>
      <w:r>
        <w:rPr>
          <w:rFonts w:hint="eastAsia" w:ascii="宋体" w:hAnsi="宋体" w:eastAsia="宋体" w:cs="宋体"/>
          <w:color w:val="000000"/>
          <w:sz w:val="24"/>
          <w:szCs w:val="24"/>
        </w:rPr>
        <w:t>日起至2026年</w:t>
      </w:r>
      <w:r>
        <w:rPr>
          <w:rFonts w:hint="eastAsia" w:ascii="宋体" w:hAnsi="宋体" w:eastAsia="宋体" w:cs="宋体"/>
          <w:color w:val="000000"/>
          <w:sz w:val="24"/>
          <w:szCs w:val="24"/>
          <w:lang w:val="en-US" w:eastAsia="zh-CN"/>
        </w:rPr>
        <w:t>10</w:t>
      </w:r>
      <w:r>
        <w:rPr>
          <w:rFonts w:hint="eastAsia" w:ascii="宋体" w:hAnsi="宋体" w:eastAsia="宋体" w:cs="宋体"/>
          <w:color w:val="000000"/>
          <w:sz w:val="24"/>
          <w:szCs w:val="24"/>
        </w:rPr>
        <w:t>月</w:t>
      </w:r>
      <w:r>
        <w:rPr>
          <w:rFonts w:hint="eastAsia" w:ascii="宋体" w:hAnsi="宋体" w:eastAsia="宋体" w:cs="宋体"/>
          <w:color w:val="000000"/>
          <w:sz w:val="24"/>
          <w:szCs w:val="24"/>
          <w:lang w:val="en-US" w:eastAsia="zh-CN"/>
        </w:rPr>
        <w:t>10</w:t>
      </w:r>
      <w:r>
        <w:rPr>
          <w:rFonts w:hint="eastAsia" w:ascii="宋体" w:hAnsi="宋体" w:eastAsia="宋体" w:cs="宋体"/>
          <w:color w:val="000000"/>
          <w:sz w:val="24"/>
          <w:szCs w:val="24"/>
        </w:rPr>
        <w:t>日止，上午08:00-12:00，下午2:00-5:</w:t>
      </w:r>
      <w:r>
        <w:rPr>
          <w:rFonts w:hint="eastAsia" w:ascii="宋体" w:hAnsi="宋体" w:eastAsia="宋体" w:cs="宋体"/>
          <w:color w:val="000000"/>
          <w:sz w:val="24"/>
          <w:szCs w:val="24"/>
          <w:lang w:val="en-US" w:eastAsia="zh-CN"/>
        </w:rPr>
        <w:t>0</w:t>
      </w:r>
      <w:r>
        <w:rPr>
          <w:rFonts w:hint="eastAsia" w:ascii="宋体" w:hAnsi="宋体" w:eastAsia="宋体" w:cs="宋体"/>
          <w:color w:val="000000"/>
          <w:sz w:val="24"/>
          <w:szCs w:val="24"/>
        </w:rPr>
        <w:t>0。</w:t>
      </w:r>
    </w:p>
    <w:p w14:paraId="6546A10E">
      <w:pPr>
        <w:pStyle w:val="3"/>
        <w:keepNext w:val="0"/>
        <w:keepLines w:val="0"/>
        <w:widowControl/>
        <w:suppressLineNumbers w:val="0"/>
        <w:spacing w:line="26" w:lineRule="atLeast"/>
        <w:ind w:left="0" w:firstLine="510"/>
        <w:jc w:val="both"/>
        <w:rPr>
          <w:sz w:val="24"/>
          <w:szCs w:val="24"/>
        </w:rPr>
      </w:pPr>
      <w:r>
        <w:rPr>
          <w:color w:val="000000"/>
          <w:sz w:val="24"/>
          <w:szCs w:val="24"/>
        </w:rPr>
        <w:t>（二）地点：湘潭市雨湖区高岭路</w:t>
      </w:r>
      <w:r>
        <w:rPr>
          <w:rFonts w:hint="eastAsia"/>
          <w:color w:val="000000"/>
          <w:sz w:val="24"/>
          <w:szCs w:val="24"/>
          <w:lang w:val="en-US" w:eastAsia="zh-CN"/>
        </w:rPr>
        <w:t>2</w:t>
      </w:r>
      <w:r>
        <w:rPr>
          <w:color w:val="000000"/>
          <w:sz w:val="24"/>
          <w:szCs w:val="24"/>
        </w:rPr>
        <w:t>号</w:t>
      </w:r>
    </w:p>
    <w:p w14:paraId="5BBB075C">
      <w:pPr>
        <w:pStyle w:val="3"/>
        <w:keepNext w:val="0"/>
        <w:keepLines w:val="0"/>
        <w:widowControl/>
        <w:suppressLineNumbers w:val="0"/>
        <w:spacing w:line="26" w:lineRule="atLeast"/>
        <w:ind w:left="0" w:firstLine="510"/>
        <w:jc w:val="both"/>
        <w:rPr>
          <w:rFonts w:hint="eastAsia" w:ascii="宋体" w:hAnsi="宋体" w:eastAsia="宋体" w:cs="宋体"/>
          <w:sz w:val="24"/>
          <w:szCs w:val="24"/>
          <w:lang w:val="en-US" w:eastAsia="zh-CN"/>
        </w:rPr>
      </w:pPr>
      <w:r>
        <w:rPr>
          <w:color w:val="000000"/>
          <w:sz w:val="24"/>
          <w:szCs w:val="24"/>
        </w:rPr>
        <w:t>（三）联系人及电话：</w:t>
      </w:r>
      <w:r>
        <w:rPr>
          <w:rFonts w:hint="eastAsia"/>
          <w:color w:val="000000"/>
          <w:sz w:val="24"/>
          <w:szCs w:val="24"/>
          <w:lang w:val="en-US" w:eastAsia="zh-CN"/>
        </w:rPr>
        <w:t>刘老师</w:t>
      </w:r>
      <w:r>
        <w:rPr>
          <w:rFonts w:hint="eastAsia" w:ascii="宋体" w:hAnsi="宋体" w:eastAsia="宋体" w:cs="宋体"/>
          <w:color w:val="000000"/>
          <w:sz w:val="24"/>
          <w:szCs w:val="24"/>
          <w:lang w:val="en-US" w:eastAsia="zh-CN"/>
        </w:rPr>
        <w:t xml:space="preserve"> 15673215948</w:t>
      </w:r>
    </w:p>
    <w:p w14:paraId="789F57B8">
      <w:pPr>
        <w:pStyle w:val="3"/>
        <w:keepNext w:val="0"/>
        <w:keepLines w:val="0"/>
        <w:widowControl/>
        <w:suppressLineNumbers w:val="0"/>
        <w:spacing w:line="26" w:lineRule="atLeast"/>
        <w:ind w:left="0" w:firstLine="510"/>
        <w:jc w:val="both"/>
        <w:rPr>
          <w:sz w:val="24"/>
          <w:szCs w:val="24"/>
        </w:rPr>
      </w:pPr>
      <w:r>
        <w:rPr>
          <w:color w:val="000000"/>
          <w:sz w:val="24"/>
          <w:szCs w:val="24"/>
        </w:rPr>
        <w:t>（四）方式：</w:t>
      </w:r>
      <w:r>
        <w:rPr>
          <w:rFonts w:hint="eastAsia"/>
          <w:color w:val="000000"/>
          <w:sz w:val="24"/>
          <w:szCs w:val="24"/>
          <w:lang w:val="en-US" w:eastAsia="zh-CN"/>
        </w:rPr>
        <w:t>服务机构在公示期把</w:t>
      </w:r>
      <w:r>
        <w:rPr>
          <w:color w:val="000000"/>
          <w:sz w:val="24"/>
          <w:szCs w:val="24"/>
        </w:rPr>
        <w:t>营业执照</w:t>
      </w:r>
      <w:r>
        <w:rPr>
          <w:rFonts w:hint="eastAsia"/>
          <w:color w:val="000000"/>
          <w:sz w:val="24"/>
          <w:szCs w:val="24"/>
          <w:lang w:val="en-US" w:eastAsia="zh-CN"/>
        </w:rPr>
        <w:t>和 法人本人(代理人)复印件盖公章送至敬业楼</w:t>
      </w:r>
      <w:r>
        <w:rPr>
          <w:rFonts w:hint="eastAsia" w:ascii="宋体" w:hAnsi="宋体" w:eastAsia="宋体" w:cs="宋体"/>
          <w:color w:val="000000"/>
          <w:sz w:val="24"/>
          <w:szCs w:val="24"/>
          <w:lang w:val="en-US" w:eastAsia="zh-CN"/>
        </w:rPr>
        <w:t>113办</w:t>
      </w:r>
      <w:r>
        <w:rPr>
          <w:rFonts w:hint="eastAsia"/>
          <w:color w:val="000000"/>
          <w:sz w:val="24"/>
          <w:szCs w:val="24"/>
          <w:lang w:val="en-US" w:eastAsia="zh-CN"/>
        </w:rPr>
        <w:t>公室</w:t>
      </w:r>
      <w:r>
        <w:rPr>
          <w:color w:val="000000"/>
          <w:sz w:val="24"/>
          <w:szCs w:val="24"/>
        </w:rPr>
        <w:t>。逾期送达的项目组织单位不予受理。</w:t>
      </w:r>
    </w:p>
    <w:p w14:paraId="6685725D">
      <w:pPr>
        <w:pStyle w:val="3"/>
        <w:keepNext w:val="0"/>
        <w:keepLines w:val="0"/>
        <w:widowControl/>
        <w:suppressLineNumbers w:val="0"/>
        <w:autoSpaceDE w:val="0"/>
        <w:autoSpaceDN/>
        <w:spacing w:before="0" w:beforeAutospacing="0" w:after="0" w:afterAutospacing="0" w:line="360" w:lineRule="atLeast"/>
        <w:ind w:left="0" w:right="0" w:firstLine="480"/>
        <w:rPr>
          <w:rStyle w:val="7"/>
          <w:rFonts w:hint="eastAsia" w:ascii="宋体" w:hAnsi="宋体" w:eastAsia="宋体" w:cs="宋体"/>
          <w:kern w:val="0"/>
          <w:sz w:val="24"/>
          <w:szCs w:val="24"/>
          <w:lang w:val="en-US" w:eastAsia="zh-CN" w:bidi="ar"/>
        </w:rPr>
      </w:pPr>
      <w:r>
        <w:rPr>
          <w:color w:val="000000"/>
          <w:sz w:val="24"/>
          <w:szCs w:val="24"/>
        </w:rPr>
        <w:t>（</w:t>
      </w:r>
      <w:r>
        <w:rPr>
          <w:rFonts w:hint="eastAsia"/>
          <w:color w:val="000000"/>
          <w:sz w:val="24"/>
          <w:szCs w:val="24"/>
          <w:lang w:val="en-US" w:eastAsia="zh-CN"/>
        </w:rPr>
        <w:t>五</w:t>
      </w:r>
      <w:r>
        <w:rPr>
          <w:color w:val="000000"/>
          <w:sz w:val="24"/>
          <w:szCs w:val="24"/>
        </w:rPr>
        <w:t>）报价文件需</w:t>
      </w:r>
      <w:r>
        <w:rPr>
          <w:rFonts w:hint="eastAsia"/>
          <w:color w:val="000000"/>
          <w:sz w:val="24"/>
          <w:szCs w:val="24"/>
          <w:lang w:val="en-US" w:eastAsia="zh-CN"/>
        </w:rPr>
        <w:t>装入文件袋</w:t>
      </w:r>
      <w:r>
        <w:rPr>
          <w:color w:val="000000"/>
          <w:sz w:val="24"/>
          <w:szCs w:val="24"/>
        </w:rPr>
        <w:t>密封，粘贴封条并加盖单位公章</w:t>
      </w:r>
      <w:r>
        <w:rPr>
          <w:rFonts w:hint="eastAsia"/>
          <w:color w:val="000000"/>
          <w:sz w:val="24"/>
          <w:szCs w:val="24"/>
          <w:lang w:val="en-US" w:eastAsia="zh-CN"/>
        </w:rPr>
        <w:t>.</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Style w:val="7"/>
          <w:rFonts w:hint="eastAsia" w:ascii="宋体" w:hAnsi="宋体" w:eastAsia="宋体" w:cs="宋体"/>
          <w:kern w:val="0"/>
          <w:sz w:val="24"/>
          <w:szCs w:val="24"/>
          <w:lang w:val="en-US" w:eastAsia="zh-CN" w:bidi="ar"/>
        </w:rPr>
        <w:t>开标时间及地点</w:t>
      </w:r>
    </w:p>
    <w:p w14:paraId="619DC43E">
      <w:pPr>
        <w:pStyle w:val="3"/>
        <w:keepNext w:val="0"/>
        <w:keepLines w:val="0"/>
        <w:widowControl/>
        <w:suppressLineNumbers w:val="0"/>
        <w:autoSpaceDE w:val="0"/>
        <w:autoSpaceDN/>
        <w:spacing w:before="0" w:beforeAutospacing="0" w:after="0" w:afterAutospacing="0" w:line="360" w:lineRule="atLeast"/>
        <w:ind w:left="0" w:right="0" w:firstLine="480"/>
        <w:rPr>
          <w:rFonts w:hint="eastAsia"/>
          <w:color w:val="000000"/>
          <w:sz w:val="24"/>
          <w:szCs w:val="24"/>
        </w:rPr>
      </w:pPr>
    </w:p>
    <w:p w14:paraId="72D159E6">
      <w:pPr>
        <w:pStyle w:val="3"/>
        <w:keepNext w:val="0"/>
        <w:keepLines w:val="0"/>
        <w:widowControl/>
        <w:suppressLineNumbers w:val="0"/>
        <w:autoSpaceDE w:val="0"/>
        <w:autoSpaceDN/>
        <w:spacing w:before="0" w:beforeAutospacing="0" w:after="0" w:afterAutospacing="0" w:line="360" w:lineRule="atLeast"/>
        <w:ind w:left="0" w:right="0" w:firstLine="480"/>
        <w:rPr>
          <w:rFonts w:hint="default"/>
          <w:color w:val="000000"/>
          <w:sz w:val="24"/>
          <w:szCs w:val="24"/>
          <w:lang w:val="en-US" w:eastAsia="zh-CN"/>
        </w:rPr>
      </w:pPr>
      <w:r>
        <w:rPr>
          <w:rFonts w:hint="eastAsia"/>
          <w:color w:val="000000"/>
          <w:sz w:val="24"/>
          <w:szCs w:val="24"/>
        </w:rPr>
        <w:t>开标时间：202</w:t>
      </w:r>
      <w:r>
        <w:rPr>
          <w:rFonts w:hint="eastAsia"/>
          <w:color w:val="000000"/>
          <w:sz w:val="24"/>
          <w:szCs w:val="24"/>
          <w:lang w:val="en-US" w:eastAsia="zh-CN"/>
        </w:rPr>
        <w:t>6</w:t>
      </w:r>
      <w:r>
        <w:rPr>
          <w:rFonts w:hint="eastAsia"/>
          <w:color w:val="000000"/>
          <w:sz w:val="24"/>
          <w:szCs w:val="24"/>
        </w:rPr>
        <w:t>年</w:t>
      </w:r>
      <w:r>
        <w:rPr>
          <w:rFonts w:hint="eastAsia"/>
          <w:color w:val="000000"/>
          <w:sz w:val="24"/>
          <w:szCs w:val="24"/>
          <w:lang w:val="en-US" w:eastAsia="zh-CN"/>
        </w:rPr>
        <w:t>10</w:t>
      </w:r>
      <w:r>
        <w:rPr>
          <w:rFonts w:hint="eastAsia"/>
          <w:color w:val="000000"/>
          <w:sz w:val="24"/>
          <w:szCs w:val="24"/>
        </w:rPr>
        <w:t>月</w:t>
      </w:r>
      <w:r>
        <w:rPr>
          <w:rFonts w:hint="eastAsia"/>
          <w:color w:val="000000"/>
          <w:sz w:val="24"/>
          <w:szCs w:val="24"/>
          <w:lang w:val="en-US" w:eastAsia="zh-CN"/>
        </w:rPr>
        <w:t>13</w:t>
      </w:r>
      <w:r>
        <w:rPr>
          <w:rFonts w:hint="eastAsia"/>
          <w:color w:val="000000"/>
          <w:sz w:val="24"/>
          <w:szCs w:val="24"/>
        </w:rPr>
        <w:t>日（星期</w:t>
      </w:r>
      <w:r>
        <w:rPr>
          <w:rFonts w:hint="eastAsia"/>
          <w:color w:val="000000"/>
          <w:sz w:val="24"/>
          <w:szCs w:val="24"/>
          <w:lang w:eastAsia="zh-CN"/>
        </w:rPr>
        <w:t>二</w:t>
      </w:r>
      <w:r>
        <w:rPr>
          <w:rFonts w:hint="eastAsia"/>
          <w:color w:val="000000"/>
          <w:sz w:val="24"/>
          <w:szCs w:val="24"/>
        </w:rPr>
        <w:t>）上午</w:t>
      </w:r>
      <w:r>
        <w:rPr>
          <w:rFonts w:hint="eastAsia"/>
          <w:color w:val="000000"/>
          <w:sz w:val="24"/>
          <w:szCs w:val="24"/>
          <w:lang w:val="en-US" w:eastAsia="zh-CN"/>
        </w:rPr>
        <w:t>10</w:t>
      </w:r>
      <w:r>
        <w:rPr>
          <w:rFonts w:hint="eastAsia"/>
          <w:color w:val="000000"/>
          <w:sz w:val="24"/>
          <w:szCs w:val="24"/>
        </w:rPr>
        <w:t>：</w:t>
      </w:r>
      <w:r>
        <w:rPr>
          <w:rFonts w:hint="eastAsia"/>
          <w:color w:val="000000"/>
          <w:sz w:val="24"/>
          <w:szCs w:val="24"/>
          <w:lang w:val="en-US" w:eastAsia="zh-CN"/>
        </w:rPr>
        <w:t>30</w:t>
      </w:r>
    </w:p>
    <w:p w14:paraId="5F5407F0">
      <w:pPr>
        <w:pStyle w:val="3"/>
        <w:keepNext w:val="0"/>
        <w:keepLines w:val="0"/>
        <w:widowControl/>
        <w:suppressLineNumbers w:val="0"/>
        <w:autoSpaceDE w:val="0"/>
        <w:autoSpaceDN/>
        <w:spacing w:before="0" w:beforeAutospacing="0" w:after="0" w:afterAutospacing="0" w:line="360" w:lineRule="atLeast"/>
        <w:ind w:left="0" w:right="0" w:firstLine="480"/>
        <w:rPr>
          <w:rFonts w:hint="eastAsia"/>
          <w:color w:val="000000"/>
          <w:sz w:val="24"/>
          <w:szCs w:val="24"/>
          <w:lang w:val="en-US" w:eastAsia="zh-CN"/>
        </w:rPr>
      </w:pPr>
      <w:r>
        <w:rPr>
          <w:rFonts w:hint="eastAsia"/>
          <w:color w:val="000000"/>
          <w:sz w:val="24"/>
          <w:szCs w:val="24"/>
        </w:rPr>
        <w:t>开标地点：</w:t>
      </w:r>
      <w:r>
        <w:rPr>
          <w:rFonts w:hint="eastAsia"/>
          <w:color w:val="000000"/>
          <w:sz w:val="24"/>
          <w:szCs w:val="24"/>
          <w:lang w:eastAsia="zh-CN"/>
        </w:rPr>
        <w:t>湘潭市工业贸易中等专业学校敬业楼</w:t>
      </w:r>
      <w:r>
        <w:rPr>
          <w:rFonts w:hint="eastAsia"/>
          <w:color w:val="000000"/>
          <w:sz w:val="24"/>
          <w:szCs w:val="24"/>
          <w:lang w:val="en-US" w:eastAsia="zh-CN"/>
        </w:rPr>
        <w:t>312会议室（湘潭市雨湖区北二环高岭路2号）。</w:t>
      </w:r>
    </w:p>
    <w:p w14:paraId="286C4498">
      <w:pPr>
        <w:pStyle w:val="3"/>
        <w:keepNext w:val="0"/>
        <w:keepLines w:val="0"/>
        <w:widowControl/>
        <w:suppressLineNumbers w:val="0"/>
        <w:spacing w:before="0" w:beforeAutospacing="0" w:after="0" w:afterAutospacing="0" w:line="360" w:lineRule="atLeast"/>
        <w:ind w:right="0"/>
        <w:rPr>
          <w:rStyle w:val="7"/>
          <w:rFonts w:hint="eastAsia" w:ascii="宋体" w:hAnsi="宋体" w:eastAsia="宋体" w:cs="宋体"/>
          <w:kern w:val="0"/>
          <w:sz w:val="24"/>
          <w:szCs w:val="24"/>
          <w:lang w:val="en-US" w:eastAsia="zh-CN" w:bidi="ar"/>
        </w:rPr>
      </w:pPr>
    </w:p>
    <w:p w14:paraId="166D3DD9">
      <w:pPr>
        <w:pStyle w:val="3"/>
        <w:keepNext w:val="0"/>
        <w:keepLines w:val="0"/>
        <w:widowControl/>
        <w:suppressLineNumbers w:val="0"/>
        <w:spacing w:before="0" w:beforeAutospacing="0" w:after="0" w:afterAutospacing="0" w:line="360" w:lineRule="atLeast"/>
        <w:ind w:right="0"/>
        <w:rPr>
          <w:rStyle w:val="7"/>
          <w:rFonts w:hint="eastAsia" w:ascii="宋体" w:hAnsi="宋体" w:eastAsia="宋体" w:cs="宋体"/>
          <w:kern w:val="0"/>
          <w:sz w:val="24"/>
          <w:szCs w:val="24"/>
          <w:lang w:val="en-US" w:eastAsia="zh-CN" w:bidi="ar"/>
        </w:rPr>
      </w:pPr>
      <w:r>
        <w:rPr>
          <w:rStyle w:val="7"/>
          <w:rFonts w:hint="eastAsia" w:ascii="宋体" w:hAnsi="宋体" w:eastAsia="宋体" w:cs="宋体"/>
          <w:kern w:val="0"/>
          <w:sz w:val="24"/>
          <w:szCs w:val="24"/>
          <w:lang w:val="en-US" w:eastAsia="zh-CN" w:bidi="ar"/>
        </w:rPr>
        <w:t>评标办法</w:t>
      </w:r>
    </w:p>
    <w:p w14:paraId="673A100C">
      <w:pPr>
        <w:pStyle w:val="3"/>
        <w:keepNext w:val="0"/>
        <w:keepLines w:val="0"/>
        <w:widowControl/>
        <w:suppressLineNumbers w:val="0"/>
        <w:autoSpaceDE w:val="0"/>
        <w:autoSpaceDN/>
        <w:spacing w:before="0" w:beforeAutospacing="0" w:after="0" w:afterAutospacing="0" w:line="360" w:lineRule="atLeast"/>
        <w:ind w:left="0" w:right="0" w:firstLine="480"/>
        <w:rPr>
          <w:rFonts w:hint="eastAsia"/>
          <w:color w:val="000000"/>
          <w:sz w:val="24"/>
          <w:szCs w:val="24"/>
        </w:rPr>
      </w:pPr>
      <w:r>
        <w:rPr>
          <w:rFonts w:hint="eastAsia"/>
          <w:color w:val="000000"/>
          <w:sz w:val="24"/>
          <w:szCs w:val="24"/>
        </w:rPr>
        <w:t>投标最高限价为：</w:t>
      </w:r>
      <w:r>
        <w:rPr>
          <w:rFonts w:hint="eastAsia" w:ascii="宋体" w:hAnsi="宋体" w:eastAsia="宋体" w:cs="宋体"/>
          <w:i w:val="0"/>
          <w:iCs w:val="0"/>
          <w:color w:val="000000"/>
          <w:kern w:val="0"/>
          <w:sz w:val="22"/>
          <w:szCs w:val="22"/>
          <w:u w:val="none"/>
          <w:lang w:val="en-US" w:eastAsia="zh-CN" w:bidi="ar"/>
        </w:rPr>
        <w:t>392600</w:t>
      </w:r>
      <w:r>
        <w:rPr>
          <w:rFonts w:hint="eastAsia"/>
          <w:color w:val="000000"/>
          <w:sz w:val="24"/>
          <w:szCs w:val="24"/>
        </w:rPr>
        <w:t>元，本次评标采用“最低价中标法”。（开标会议现场报价）</w:t>
      </w:r>
    </w:p>
    <w:p w14:paraId="43C4F4F0">
      <w:pPr>
        <w:keepNext w:val="0"/>
        <w:keepLines w:val="0"/>
        <w:widowControl/>
        <w:suppressLineNumbers w:val="0"/>
        <w:jc w:val="both"/>
        <w:rPr>
          <w:rStyle w:val="7"/>
          <w:rFonts w:ascii="宋体" w:hAnsi="宋体" w:eastAsia="宋体" w:cs="宋体"/>
          <w:kern w:val="0"/>
          <w:sz w:val="24"/>
          <w:szCs w:val="24"/>
          <w:lang w:val="en-US" w:eastAsia="zh-CN" w:bidi="ar"/>
        </w:rPr>
      </w:pPr>
    </w:p>
    <w:p w14:paraId="42D40978">
      <w:pPr>
        <w:keepNext w:val="0"/>
        <w:keepLines w:val="0"/>
        <w:widowControl/>
        <w:suppressLineNumbers w:val="0"/>
        <w:jc w:val="both"/>
        <w:rPr>
          <w:sz w:val="24"/>
          <w:szCs w:val="24"/>
        </w:rPr>
      </w:pPr>
      <w:r>
        <w:rPr>
          <w:rStyle w:val="7"/>
          <w:rFonts w:ascii="宋体" w:hAnsi="宋体" w:eastAsia="宋体" w:cs="宋体"/>
          <w:kern w:val="0"/>
          <w:sz w:val="24"/>
          <w:szCs w:val="24"/>
          <w:lang w:val="en-US" w:eastAsia="zh-CN" w:bidi="ar"/>
        </w:rPr>
        <w:t>采购项目的有关情况说明</w:t>
      </w:r>
    </w:p>
    <w:p w14:paraId="27ECD558">
      <w:pPr>
        <w:pStyle w:val="3"/>
        <w:keepNext w:val="0"/>
        <w:keepLines w:val="0"/>
        <w:widowControl/>
        <w:suppressLineNumbers w:val="0"/>
        <w:spacing w:line="26" w:lineRule="atLeast"/>
        <w:ind w:left="0" w:firstLine="476"/>
        <w:jc w:val="both"/>
        <w:rPr>
          <w:sz w:val="24"/>
          <w:szCs w:val="24"/>
        </w:rPr>
      </w:pPr>
      <w:r>
        <w:rPr>
          <w:color w:val="000000"/>
          <w:sz w:val="24"/>
          <w:szCs w:val="24"/>
        </w:rPr>
        <w:t>为确保项目准确无误，请服务</w:t>
      </w:r>
      <w:r>
        <w:rPr>
          <w:rFonts w:hint="eastAsia"/>
          <w:color w:val="000000"/>
          <w:sz w:val="24"/>
          <w:szCs w:val="24"/>
          <w:lang w:val="en-US" w:eastAsia="zh-CN"/>
        </w:rPr>
        <w:t>机构</w:t>
      </w:r>
      <w:r>
        <w:rPr>
          <w:color w:val="000000"/>
          <w:sz w:val="24"/>
          <w:szCs w:val="24"/>
        </w:rPr>
        <w:t>就</w:t>
      </w:r>
      <w:r>
        <w:rPr>
          <w:rFonts w:hint="eastAsia"/>
          <w:color w:val="000000"/>
          <w:sz w:val="24"/>
          <w:szCs w:val="24"/>
          <w:lang w:val="en-US" w:eastAsia="zh-CN"/>
        </w:rPr>
        <w:t>服务</w:t>
      </w:r>
      <w:r>
        <w:rPr>
          <w:color w:val="000000"/>
          <w:sz w:val="24"/>
          <w:szCs w:val="24"/>
        </w:rPr>
        <w:t>项目进行实地勘查核实。如未对本项目进行实地勘察、服务商自行承担一切风险责任。</w:t>
      </w:r>
    </w:p>
    <w:p w14:paraId="46AA59EE">
      <w:pPr>
        <w:pStyle w:val="3"/>
        <w:keepNext w:val="0"/>
        <w:keepLines w:val="0"/>
        <w:widowControl/>
        <w:suppressLineNumbers w:val="0"/>
        <w:spacing w:line="26" w:lineRule="atLeast"/>
        <w:ind w:left="0" w:firstLine="476"/>
        <w:jc w:val="both"/>
        <w:rPr>
          <w:sz w:val="24"/>
          <w:szCs w:val="24"/>
        </w:rPr>
      </w:pPr>
    </w:p>
    <w:p w14:paraId="4114A5D0">
      <w:pPr>
        <w:pStyle w:val="3"/>
        <w:keepNext w:val="0"/>
        <w:keepLines w:val="0"/>
        <w:widowControl/>
        <w:suppressLineNumbers w:val="0"/>
        <w:spacing w:line="26" w:lineRule="atLeast"/>
        <w:ind w:firstLine="5040" w:firstLineChars="2100"/>
        <w:jc w:val="both"/>
        <w:rPr>
          <w:sz w:val="24"/>
          <w:szCs w:val="24"/>
        </w:rPr>
      </w:pPr>
      <w:r>
        <w:rPr>
          <w:color w:val="000000"/>
          <w:sz w:val="24"/>
          <w:szCs w:val="24"/>
        </w:rPr>
        <w:t>湘潭</w:t>
      </w:r>
      <w:r>
        <w:rPr>
          <w:rFonts w:hint="eastAsia"/>
          <w:color w:val="000000"/>
          <w:sz w:val="24"/>
          <w:szCs w:val="24"/>
          <w:lang w:val="en-US" w:eastAsia="zh-CN"/>
        </w:rPr>
        <w:t>市</w:t>
      </w:r>
      <w:r>
        <w:rPr>
          <w:rFonts w:hint="eastAsia"/>
          <w:sz w:val="24"/>
          <w:szCs w:val="24"/>
          <w:lang w:val="en-US" w:eastAsia="zh-CN"/>
        </w:rPr>
        <w:t>工业贸易中等专业</w:t>
      </w:r>
      <w:r>
        <w:rPr>
          <w:color w:val="000000"/>
          <w:sz w:val="24"/>
          <w:szCs w:val="24"/>
        </w:rPr>
        <w:t>学校</w:t>
      </w:r>
    </w:p>
    <w:p w14:paraId="78B00E56">
      <w:pPr>
        <w:pStyle w:val="3"/>
        <w:keepNext w:val="0"/>
        <w:keepLines w:val="0"/>
        <w:widowControl/>
        <w:suppressLineNumbers w:val="0"/>
        <w:spacing w:line="26" w:lineRule="atLeast"/>
        <w:ind w:firstLine="6480" w:firstLineChars="2700"/>
        <w:jc w:val="both"/>
        <w:rPr>
          <w:sz w:val="24"/>
          <w:szCs w:val="24"/>
        </w:rPr>
      </w:pPr>
      <w:r>
        <w:rPr>
          <w:rFonts w:hint="eastAsia" w:ascii="宋体" w:hAnsi="宋体" w:eastAsia="宋体" w:cs="宋体"/>
          <w:color w:val="000000"/>
          <w:sz w:val="24"/>
          <w:szCs w:val="24"/>
        </w:rPr>
        <w:t>2026年</w:t>
      </w:r>
      <w:r>
        <w:rPr>
          <w:rFonts w:hint="eastAsia" w:ascii="宋体" w:hAnsi="宋体" w:eastAsia="宋体" w:cs="宋体"/>
          <w:color w:val="000000"/>
          <w:sz w:val="24"/>
          <w:szCs w:val="24"/>
          <w:lang w:val="en-US" w:eastAsia="zh-CN"/>
        </w:rPr>
        <w:t>10</w:t>
      </w:r>
      <w:r>
        <w:rPr>
          <w:rFonts w:hint="eastAsia" w:ascii="宋体" w:hAnsi="宋体" w:eastAsia="宋体" w:cs="宋体"/>
          <w:color w:val="000000"/>
          <w:sz w:val="24"/>
          <w:szCs w:val="24"/>
        </w:rPr>
        <w:t>月</w:t>
      </w:r>
      <w:r>
        <w:rPr>
          <w:rFonts w:hint="eastAsia" w:ascii="宋体" w:hAnsi="宋体" w:eastAsia="宋体" w:cs="宋体"/>
          <w:color w:val="000000"/>
          <w:sz w:val="24"/>
          <w:szCs w:val="24"/>
          <w:lang w:val="en-US" w:eastAsia="zh-CN"/>
        </w:rPr>
        <w:t>8</w:t>
      </w:r>
      <w:r>
        <w:rPr>
          <w:rFonts w:hint="eastAsia" w:ascii="宋体" w:hAnsi="宋体" w:eastAsia="宋体" w:cs="宋体"/>
          <w:color w:val="000000"/>
          <w:sz w:val="24"/>
          <w:szCs w:val="24"/>
        </w:rPr>
        <w:t>日</w:t>
      </w:r>
    </w:p>
    <w:p w14:paraId="0100BD09">
      <w:pPr>
        <w:jc w:val="both"/>
        <w:rPr>
          <w:rFonts w:hint="eastAsia" w:eastAsia="宋体"/>
          <w:b w:val="0"/>
          <w:bCs w:val="0"/>
          <w:sz w:val="24"/>
          <w:szCs w:val="24"/>
          <w:lang w:val="en-US" w:eastAsia="zh-CN"/>
        </w:rPr>
      </w:pPr>
      <w:r>
        <w:rPr>
          <w:rFonts w:hint="eastAsia" w:ascii="宋体" w:hAnsi="宋体" w:eastAsia="宋体" w:cs="宋体"/>
          <w:sz w:val="24"/>
          <w:szCs w:val="24"/>
          <w:lang w:val="en-US" w:eastAsia="zh-CN"/>
        </w:rPr>
        <w:t xml:space="preserve">   </w:t>
      </w:r>
      <w:r>
        <w:rPr>
          <w:rFonts w:hint="eastAsia"/>
          <w:sz w:val="24"/>
          <w:szCs w:val="24"/>
          <w:lang w:val="en-US" w:eastAsia="zh-CN"/>
        </w:rPr>
        <w:t xml:space="preserve">                  </w:t>
      </w:r>
    </w:p>
    <w:p w14:paraId="678139E9">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附件1                        </w:t>
      </w:r>
    </w:p>
    <w:p w14:paraId="51E8AC9D">
      <w:pPr>
        <w:pStyle w:val="12"/>
        <w:jc w:val="left"/>
        <w:rPr>
          <w:rFonts w:hint="eastAsia" w:ascii="宋体" w:hAnsi="宋体" w:eastAsia="宋体" w:cs="宋体"/>
        </w:rPr>
      </w:pPr>
      <w:r>
        <w:rPr>
          <w:rFonts w:hint="eastAsia" w:ascii="宋体" w:hAnsi="宋体" w:eastAsia="宋体" w:cs="宋体"/>
          <w:lang w:val="en-US" w:eastAsia="zh-CN"/>
        </w:rPr>
        <w:t>一</w:t>
      </w:r>
      <w:r>
        <w:rPr>
          <w:rFonts w:hint="eastAsia" w:ascii="宋体" w:hAnsi="宋体" w:eastAsia="宋体" w:cs="宋体"/>
        </w:rPr>
        <w:t xml:space="preserve">、结构及功能组成 </w:t>
      </w:r>
    </w:p>
    <w:p w14:paraId="296AFC90">
      <w:pPr>
        <w:pStyle w:val="12"/>
        <w:jc w:val="left"/>
        <w:rPr>
          <w:rFonts w:hint="eastAsia" w:ascii="宋体" w:hAnsi="宋体" w:eastAsia="宋体" w:cs="宋体"/>
        </w:rPr>
      </w:pPr>
      <w:r>
        <w:rPr>
          <w:rFonts w:hint="eastAsia" w:ascii="宋体" w:hAnsi="宋体" w:eastAsia="宋体" w:cs="宋体"/>
        </w:rPr>
        <w:t xml:space="preserve">1.供料工作单元 1 套 </w:t>
      </w:r>
    </w:p>
    <w:p w14:paraId="03488100">
      <w:pPr>
        <w:pStyle w:val="12"/>
        <w:jc w:val="left"/>
        <w:rPr>
          <w:rFonts w:hint="eastAsia" w:ascii="宋体" w:hAnsi="宋体" w:eastAsia="宋体" w:cs="宋体"/>
        </w:rPr>
      </w:pPr>
      <w:r>
        <w:rPr>
          <w:rFonts w:hint="eastAsia" w:ascii="宋体" w:hAnsi="宋体" w:eastAsia="宋体" w:cs="宋体"/>
        </w:rPr>
        <w:t>1.1 供料工作单元功能要求：将不同方向的杯体工件通过检测、翻转成同一方向排列的工件并完成工件传输。要求满足职业技能大赛机电一体化技术要求，要求提供设备生产商提供满足技术要求的证明文件。单元结构组成要求：由杯体供料仓模块、翻转搬运手模块、皮带传输机、距离传感器模块、滑槽、挡片、阻隔器等模块组成，需提供实物配图。</w:t>
      </w:r>
    </w:p>
    <w:p w14:paraId="06ED8032">
      <w:pPr>
        <w:rPr>
          <w:rFonts w:hint="eastAsia" w:ascii="宋体" w:hAnsi="宋体" w:eastAsia="宋体" w:cs="宋体"/>
          <w:sz w:val="24"/>
          <w:szCs w:val="24"/>
        </w:rPr>
      </w:pPr>
    </w:p>
    <w:p w14:paraId="1D9D453C">
      <w:pPr>
        <w:pStyle w:val="12"/>
        <w:jc w:val="left"/>
        <w:rPr>
          <w:rFonts w:hint="eastAsia" w:ascii="宋体" w:hAnsi="宋体" w:eastAsia="宋体" w:cs="宋体"/>
        </w:rPr>
      </w:pPr>
      <w:r>
        <w:rPr>
          <w:rFonts w:hint="eastAsia" w:ascii="宋体" w:hAnsi="宋体" w:eastAsia="宋体" w:cs="宋体"/>
        </w:rPr>
        <w:t xml:space="preserve">1. </w:t>
      </w:r>
      <w:r>
        <w:rPr>
          <w:rFonts w:hint="eastAsia" w:ascii="宋体" w:hAnsi="宋体" w:eastAsia="宋体" w:cs="宋体"/>
          <w:lang w:val="en-US" w:eastAsia="zh-CN"/>
        </w:rPr>
        <w:t>2</w:t>
      </w:r>
      <w:r>
        <w:rPr>
          <w:rFonts w:hint="eastAsia" w:ascii="宋体" w:hAnsi="宋体" w:eastAsia="宋体" w:cs="宋体"/>
        </w:rPr>
        <w:t xml:space="preserve">技术要求： </w:t>
      </w:r>
    </w:p>
    <w:p w14:paraId="3575CC3D">
      <w:pPr>
        <w:pStyle w:val="12"/>
        <w:jc w:val="left"/>
        <w:rPr>
          <w:rFonts w:hint="eastAsia" w:ascii="宋体" w:hAnsi="宋体" w:eastAsia="宋体" w:cs="宋体"/>
        </w:rPr>
      </w:pPr>
      <w:r>
        <w:rPr>
          <w:rFonts w:hint="eastAsia" w:ascii="宋体" w:hAnsi="宋体" w:eastAsia="宋体" w:cs="宋体"/>
        </w:rPr>
        <w:t xml:space="preserve">1）工作气压：0.4～0.6MPa </w:t>
      </w:r>
    </w:p>
    <w:p w14:paraId="032917E8">
      <w:pPr>
        <w:pStyle w:val="12"/>
        <w:jc w:val="left"/>
        <w:rPr>
          <w:rFonts w:hint="eastAsia" w:ascii="宋体" w:hAnsi="宋体" w:eastAsia="宋体" w:cs="宋体"/>
        </w:rPr>
      </w:pPr>
      <w:r>
        <w:rPr>
          <w:rFonts w:hint="eastAsia" w:ascii="宋体" w:hAnsi="宋体" w:eastAsia="宋体" w:cs="宋体"/>
        </w:rPr>
        <w:t xml:space="preserve">2）电源电压：24 V DC </w:t>
      </w:r>
    </w:p>
    <w:p w14:paraId="5A86C74B">
      <w:pPr>
        <w:pStyle w:val="12"/>
        <w:jc w:val="left"/>
        <w:rPr>
          <w:rFonts w:hint="eastAsia" w:ascii="宋体" w:hAnsi="宋体" w:eastAsia="宋体" w:cs="宋体"/>
        </w:rPr>
      </w:pPr>
      <w:r>
        <w:rPr>
          <w:rFonts w:hint="eastAsia" w:ascii="宋体" w:hAnsi="宋体" w:eastAsia="宋体" w:cs="宋体"/>
        </w:rPr>
        <w:t xml:space="preserve">3）方形/圆形工件尺寸：≥ 40 mm </w:t>
      </w:r>
    </w:p>
    <w:p w14:paraId="7F9861EF">
      <w:pPr>
        <w:pStyle w:val="12"/>
        <w:jc w:val="left"/>
        <w:rPr>
          <w:rFonts w:hint="eastAsia" w:ascii="宋体" w:hAnsi="宋体" w:eastAsia="宋体" w:cs="宋体"/>
        </w:rPr>
      </w:pPr>
      <w:r>
        <w:rPr>
          <w:rFonts w:hint="eastAsia" w:ascii="宋体" w:hAnsi="宋体" w:eastAsia="宋体" w:cs="宋体"/>
        </w:rPr>
        <w:t xml:space="preserve">4）外形尺寸：≥350×700×450mm </w:t>
      </w:r>
    </w:p>
    <w:p w14:paraId="13F20EEE">
      <w:pPr>
        <w:pStyle w:val="12"/>
        <w:jc w:val="left"/>
        <w:rPr>
          <w:rFonts w:hint="eastAsia" w:ascii="宋体" w:hAnsi="宋体" w:eastAsia="宋体" w:cs="宋体"/>
        </w:rPr>
      </w:pPr>
      <w:r>
        <w:rPr>
          <w:rFonts w:hint="eastAsia" w:ascii="宋体" w:hAnsi="宋体" w:eastAsia="宋体" w:cs="宋体"/>
        </w:rPr>
        <w:t xml:space="preserve">1.3 包含如下模块： </w:t>
      </w:r>
    </w:p>
    <w:p w14:paraId="483372BD">
      <w:pPr>
        <w:pStyle w:val="12"/>
        <w:jc w:val="left"/>
        <w:rPr>
          <w:rFonts w:hint="eastAsia" w:ascii="宋体" w:hAnsi="宋体" w:eastAsia="宋体" w:cs="宋体"/>
        </w:rPr>
      </w:pPr>
      <w:r>
        <w:rPr>
          <w:rFonts w:hint="eastAsia" w:ascii="宋体" w:hAnsi="宋体" w:eastAsia="宋体" w:cs="宋体"/>
        </w:rPr>
        <w:t xml:space="preserve">1.3.1 供料仓模块功能： </w:t>
      </w:r>
    </w:p>
    <w:p w14:paraId="78C591ED">
      <w:pPr>
        <w:pStyle w:val="12"/>
        <w:jc w:val="left"/>
        <w:rPr>
          <w:rFonts w:hint="eastAsia" w:ascii="宋体" w:hAnsi="宋体" w:eastAsia="宋体" w:cs="宋体"/>
        </w:rPr>
      </w:pPr>
      <w:r>
        <w:rPr>
          <w:rFonts w:hint="eastAsia" w:ascii="宋体" w:hAnsi="宋体" w:eastAsia="宋体" w:cs="宋体"/>
        </w:rPr>
        <w:t xml:space="preserve">（1）供料仓模块功能要求：模块可以分离叠放在料桶管道内的杯体工件。由一个双作用气缸将其逐个推出。模块结构组成：透明有机玻璃圆筒，型材基体，方圆形地脚盘，门式井架，推料舌块，柱形气缸，电磁阀模块、光纤传感器、磁传感器、电气接口模块等组成。该模块可进行多平台升级，能够升级至少两种竞赛应用平台，投标文件中需提供升级后的竞赛平台设备实物图及竞赛现场照片并提供由官方出具的含有该模块的相关文件证明。 </w:t>
      </w:r>
    </w:p>
    <w:p w14:paraId="4E7C260F">
      <w:pPr>
        <w:pStyle w:val="12"/>
        <w:jc w:val="left"/>
        <w:rPr>
          <w:rFonts w:hint="eastAsia"/>
        </w:rPr>
      </w:pPr>
      <w:r>
        <w:rPr>
          <w:rFonts w:hint="eastAsia" w:ascii="宋体" w:hAnsi="宋体" w:eastAsia="宋体" w:cs="宋体"/>
        </w:rPr>
        <w:t>（2）技术参数要求：工作电压：24VDC，工作气压：0.4～0.6MPa，圆形工件尺</w:t>
      </w:r>
      <w:r>
        <w:rPr>
          <w:rFonts w:hint="eastAsia"/>
        </w:rPr>
        <w:t xml:space="preserve">寸：≥40mm，圆形工件高度：15—28mm，外形尺寸：≥200×90×350mm。投标文件中需提供该模块装配爆炸图及对应的实物图，展示装配逻辑，可遮盖专利结构，标注核心部件的通用规格，无需具体尺寸。 </w:t>
      </w:r>
    </w:p>
    <w:p w14:paraId="0BCCFC1F">
      <w:pPr>
        <w:pStyle w:val="12"/>
        <w:jc w:val="left"/>
        <w:rPr>
          <w:rFonts w:hint="eastAsia"/>
        </w:rPr>
      </w:pPr>
      <w:r>
        <w:rPr>
          <w:rFonts w:hint="eastAsia"/>
        </w:rPr>
        <w:t xml:space="preserve">▲（3）投标文件中需提供配套该模块中文操作手册截图，内容需包含不限于设备简介外观图、模块硬件结构组成图、工作流程、气动原理图、电气接线图、15 针 IO 端子对应的颜色及说明图表等，提供相关截图证明。 </w:t>
      </w:r>
    </w:p>
    <w:p w14:paraId="51F0EF9A">
      <w:pPr>
        <w:pStyle w:val="12"/>
        <w:jc w:val="left"/>
        <w:rPr>
          <w:rFonts w:hint="eastAsia"/>
        </w:rPr>
      </w:pPr>
      <w:r>
        <w:rPr>
          <w:rFonts w:hint="eastAsia"/>
        </w:rPr>
        <w:t xml:space="preserve">▲（4）配套供料仓模块数字孪生模型，该模型与实际设备 1:1 建模，可以进行虚拟调试及仿真，也可通过实物模型进行数字孪生训练。该模型还可与其他模型拼装成新的自动化生产线功能，投标文件中需提供该数字模型截图和拼装后新的生产线模型截图。 </w:t>
      </w:r>
    </w:p>
    <w:p w14:paraId="2324C595">
      <w:pPr>
        <w:pStyle w:val="12"/>
        <w:jc w:val="left"/>
        <w:rPr>
          <w:rFonts w:hint="eastAsia" w:ascii="宋体" w:hAnsi="宋体" w:eastAsia="宋体" w:cs="宋体"/>
        </w:rPr>
      </w:pPr>
      <w:r>
        <w:rPr>
          <w:rFonts w:hint="eastAsia" w:ascii="宋体" w:hAnsi="宋体" w:eastAsia="宋体" w:cs="宋体"/>
        </w:rPr>
        <w:t xml:space="preserve">1.3.2 翻转搬运手模块功能： </w:t>
      </w:r>
    </w:p>
    <w:p w14:paraId="54BCA86A">
      <w:pPr>
        <w:pStyle w:val="12"/>
        <w:jc w:val="left"/>
        <w:rPr>
          <w:rFonts w:hint="eastAsia" w:ascii="宋体" w:hAnsi="宋体" w:eastAsia="宋体" w:cs="宋体"/>
        </w:rPr>
      </w:pPr>
      <w:r>
        <w:rPr>
          <w:rFonts w:hint="eastAsia" w:ascii="宋体" w:hAnsi="宋体" w:eastAsia="宋体" w:cs="宋体"/>
        </w:rPr>
        <w:t xml:space="preserve">（1）翻转搬运手模块功能要求：可以将工件翻转 180°，再置于原位。模块结构组成：由气动平行夹， 180°旋转气缸，滑块治具气缸，弧形夹爪，型材基体，方圆形地脚盘，电磁阀模块，传感器、电气接口模块等组成。由弧形夹爪夹紧工件，滑块治具气缸负责工件提升，旋转气缸执行工件翻转。根据要求也可对工件清空。投标文件中需提供对应的实物图及装配爆炸图，展示装配逻辑，可遮盖专利结构，标注核心部件的通用规格，无需具体尺寸。 </w:t>
      </w:r>
    </w:p>
    <w:p w14:paraId="6495C8B1">
      <w:pPr>
        <w:pStyle w:val="12"/>
        <w:jc w:val="left"/>
        <w:rPr>
          <w:rFonts w:hint="eastAsia" w:ascii="宋体" w:hAnsi="宋体" w:eastAsia="宋体" w:cs="宋体"/>
        </w:rPr>
      </w:pPr>
      <w:r>
        <w:rPr>
          <w:rFonts w:hint="eastAsia" w:ascii="宋体" w:hAnsi="宋体" w:eastAsia="宋体" w:cs="宋体"/>
        </w:rPr>
        <w:t xml:space="preserve">（2）技术参数要求：工作电压：24VDC，工作气压：0.4～0.6MPa，圆形工件尺寸： ≥40mm，外形尺寸：≥180×120×280mm。 </w:t>
      </w:r>
    </w:p>
    <w:p w14:paraId="61411480">
      <w:pPr>
        <w:pStyle w:val="12"/>
        <w:jc w:val="left"/>
        <w:rPr>
          <w:rFonts w:hint="eastAsia" w:ascii="宋体" w:hAnsi="宋体" w:eastAsia="宋体" w:cs="宋体"/>
        </w:rPr>
      </w:pPr>
      <w:r>
        <w:rPr>
          <w:rFonts w:hint="eastAsia" w:ascii="宋体" w:hAnsi="宋体" w:eastAsia="宋体" w:cs="宋体"/>
        </w:rPr>
        <w:t xml:space="preserve">（3）投标文件中需提供配套该模块中文操作手册截图，内容需包含不限于设备简介外观图、模块硬件结构组成图、工作流程、气动原理图、电气接线图、15针 IO 端子对应的颜色及说明图表等，提供相关截图证明。 </w:t>
      </w:r>
    </w:p>
    <w:p w14:paraId="18BC696A">
      <w:pPr>
        <w:pStyle w:val="12"/>
        <w:jc w:val="left"/>
        <w:rPr>
          <w:rFonts w:hint="eastAsia" w:ascii="宋体" w:hAnsi="宋体" w:eastAsia="宋体" w:cs="宋体"/>
        </w:rPr>
      </w:pPr>
      <w:r>
        <w:rPr>
          <w:rFonts w:hint="eastAsia" w:ascii="宋体" w:hAnsi="宋体" w:eastAsia="宋体" w:cs="宋体"/>
        </w:rPr>
        <w:t>（4）配套该模块数字孪生模型，该模型与实际设备 1:1 建模，可以进行虚拟调试及仿真，也可通过实物模型进行数字孪生训练。该模型还可与其他模型拼装成新的自动化生产线功能，投标文件中需提供该数字模型截图和拼装后新的生产线模型截图。</w:t>
      </w:r>
    </w:p>
    <w:p w14:paraId="0F24C51A">
      <w:pPr>
        <w:pStyle w:val="12"/>
        <w:jc w:val="left"/>
        <w:rPr>
          <w:rFonts w:hint="eastAsia" w:ascii="宋体" w:hAnsi="宋体" w:eastAsia="宋体" w:cs="宋体"/>
        </w:rPr>
      </w:pPr>
      <w:r>
        <w:rPr>
          <w:rFonts w:hint="eastAsia" w:ascii="宋体" w:hAnsi="宋体" w:eastAsia="宋体" w:cs="宋体"/>
        </w:rPr>
        <w:t>1.3.3 输送带模块功能：</w:t>
      </w:r>
    </w:p>
    <w:p w14:paraId="10AA35C3">
      <w:pPr>
        <w:pStyle w:val="12"/>
        <w:jc w:val="left"/>
        <w:rPr>
          <w:rFonts w:hint="eastAsia"/>
        </w:rPr>
      </w:pPr>
      <w:r>
        <w:rPr>
          <w:rFonts w:hint="eastAsia" w:ascii="宋体" w:hAnsi="宋体" w:eastAsia="宋体" w:cs="宋体"/>
        </w:rPr>
        <w:t>（1）输送带模块功能要求：可以实现工件的双向传送。模块结构组成：由直</w:t>
      </w:r>
      <w:r>
        <w:rPr>
          <w:rFonts w:hint="eastAsia"/>
        </w:rPr>
        <w:t>流减速电机、涨紧调节机构，纠偏调节机构、带轮，输送皮带、型材机体，挡边、可调支架，电机控制器（含 2 路电磁铁驱动）、光纤传感器、电气接口模块等组成。主要功能：双向传送工件，电磁阻隔器的控制。投标文件中需提供对应的实物图及装配爆炸图，展示装配逻辑，可遮盖专利结构，标注核心部件的通用规格，无需具体尺寸。</w:t>
      </w:r>
    </w:p>
    <w:p w14:paraId="6CDD3FF8">
      <w:pPr>
        <w:pStyle w:val="12"/>
        <w:jc w:val="left"/>
        <w:rPr>
          <w:rFonts w:hint="eastAsia"/>
        </w:rPr>
      </w:pPr>
      <w:r>
        <w:rPr>
          <w:rFonts w:hint="eastAsia"/>
        </w:rPr>
        <w:t>（2）技术参数要求：工作电压：24VDC，工件宽度：40mm，有效行程： ≥340mm，额定速度： 3.6m/min，DP15 母头（三排）接口，直流电机控制器（含2 路电磁铁驱动），外形尺寸：≥350×60× 120mm。</w:t>
      </w:r>
    </w:p>
    <w:p w14:paraId="7EEC0DE4">
      <w:pPr>
        <w:pStyle w:val="12"/>
        <w:jc w:val="left"/>
        <w:rPr>
          <w:rFonts w:hint="eastAsia"/>
        </w:rPr>
      </w:pPr>
      <w:r>
        <w:rPr>
          <w:rFonts w:hint="eastAsia"/>
        </w:rPr>
        <w:t>（3）投标文件中需提供配套该模块中文操作手册截图，内容需包含不限于设备简介外观图、模块硬件结构组成图、工作流程、气动原理图、电气接线图、15 针IO 端子对应的颜色及说明图表等，提供相关截图证明。</w:t>
      </w:r>
    </w:p>
    <w:p w14:paraId="40DDED52">
      <w:pPr>
        <w:pStyle w:val="12"/>
        <w:jc w:val="left"/>
        <w:rPr>
          <w:rFonts w:hint="eastAsia"/>
        </w:rPr>
      </w:pPr>
      <w:r>
        <w:rPr>
          <w:rFonts w:hint="eastAsia" w:ascii="宋体" w:hAnsi="宋体" w:eastAsia="宋体" w:cs="宋体"/>
        </w:rPr>
        <w:t>（4）配</w:t>
      </w:r>
      <w:r>
        <w:rPr>
          <w:rFonts w:hint="eastAsia"/>
        </w:rPr>
        <w:t>套该模块数字孪生模型，该模型与实际设备 1:1 建模，可以进行虚拟调试及仿真，也可通过实物模型进行数字孪生训练。该模型还可与其他模型拼装成新的自动化生产线功能，投标文件中需提供该数字模型截图和拼装后新的生产线模型截图。</w:t>
      </w:r>
    </w:p>
    <w:p w14:paraId="1CE6489E">
      <w:pPr>
        <w:pStyle w:val="12"/>
        <w:jc w:val="left"/>
        <w:rPr>
          <w:rFonts w:hint="eastAsia" w:ascii="宋体" w:hAnsi="宋体" w:eastAsia="宋体" w:cs="宋体"/>
        </w:rPr>
      </w:pPr>
      <w:r>
        <w:rPr>
          <w:rFonts w:hint="eastAsia" w:ascii="宋体" w:hAnsi="宋体" w:eastAsia="宋体" w:cs="宋体"/>
        </w:rPr>
        <w:t>1.3.4 高度检测模块功能：</w:t>
      </w:r>
    </w:p>
    <w:p w14:paraId="497CA978">
      <w:pPr>
        <w:pStyle w:val="12"/>
        <w:jc w:val="left"/>
        <w:rPr>
          <w:rFonts w:hint="eastAsia" w:ascii="宋体" w:hAnsi="宋体" w:eastAsia="宋体" w:cs="宋体"/>
        </w:rPr>
      </w:pPr>
      <w:r>
        <w:rPr>
          <w:rFonts w:hint="eastAsia" w:ascii="宋体" w:hAnsi="宋体" w:eastAsia="宋体" w:cs="宋体"/>
        </w:rPr>
        <w:t>（1）高度检测模块功能要求：以光反射判断工件高度结构组成：由距离传感器、安装支架，高度调节杆、接线端子组成。安装于输送带上或工件座上。</w:t>
      </w:r>
    </w:p>
    <w:p w14:paraId="4E7E32CA">
      <w:pPr>
        <w:pStyle w:val="12"/>
        <w:jc w:val="left"/>
        <w:rPr>
          <w:rFonts w:hint="eastAsia" w:ascii="宋体" w:hAnsi="宋体" w:eastAsia="宋体" w:cs="宋体"/>
        </w:rPr>
      </w:pPr>
      <w:r>
        <w:rPr>
          <w:rFonts w:hint="eastAsia" w:ascii="宋体" w:hAnsi="宋体" w:eastAsia="宋体" w:cs="宋体"/>
        </w:rPr>
        <w:t>（2）技术参数要求：工作电压：12VDC～24VDC±10%，模拟输出：输出范围：0V～5V（报警时： +5.2V）输出阻抗 100 Ω，数字输出： 1 路 PNP 数字输出，工件高度或长度：相差&lt;10mm，测量中心距离：100mm，测量范围：±35mm，重复精度：70um，外形尺寸：≥40×850×210mm。</w:t>
      </w:r>
    </w:p>
    <w:p w14:paraId="5A6F5330">
      <w:pPr>
        <w:pStyle w:val="12"/>
        <w:jc w:val="left"/>
        <w:rPr>
          <w:rFonts w:hint="eastAsia" w:ascii="宋体" w:hAnsi="宋体" w:eastAsia="宋体" w:cs="宋体"/>
        </w:rPr>
      </w:pPr>
      <w:r>
        <w:rPr>
          <w:rFonts w:hint="eastAsia" w:ascii="宋体" w:hAnsi="宋体" w:eastAsia="宋体" w:cs="宋体"/>
        </w:rPr>
        <w:t>1.3.5 控制模块箱体：技术要求如下：</w:t>
      </w:r>
    </w:p>
    <w:p w14:paraId="0402EEE4">
      <w:pPr>
        <w:pStyle w:val="12"/>
        <w:jc w:val="left"/>
        <w:rPr>
          <w:rFonts w:hint="eastAsia" w:ascii="宋体" w:hAnsi="宋体" w:eastAsia="宋体" w:cs="宋体"/>
        </w:rPr>
      </w:pPr>
      <w:r>
        <w:rPr>
          <w:rFonts w:hint="eastAsia" w:ascii="宋体" w:hAnsi="宋体" w:eastAsia="宋体" w:cs="宋体"/>
        </w:rPr>
        <w:t>（1）DI16/DO16，数字量输入输出模块，AI8，模拟量输入模块，高速型，AQ4，模拟量输出模块， 2MB程序，7.5MB数据；集成3xRJ45 PN端口，1xDB9 PROFIBUS接口；安装导轨482mm；存储卡24 MB；</w:t>
      </w:r>
    </w:p>
    <w:p w14:paraId="09602317">
      <w:pPr>
        <w:pStyle w:val="12"/>
        <w:jc w:val="left"/>
        <w:rPr>
          <w:rFonts w:hint="eastAsia" w:ascii="宋体" w:hAnsi="宋体" w:eastAsia="宋体" w:cs="宋体"/>
        </w:rPr>
      </w:pPr>
      <w:r>
        <w:rPr>
          <w:rFonts w:hint="eastAsia" w:ascii="宋体" w:hAnsi="宋体" w:eastAsia="宋体" w:cs="宋体"/>
        </w:rPr>
        <w:t>（2）1 根以太网电缆，≥6 米；</w:t>
      </w:r>
    </w:p>
    <w:p w14:paraId="48DAA90D">
      <w:pPr>
        <w:pStyle w:val="12"/>
        <w:jc w:val="left"/>
        <w:rPr>
          <w:rFonts w:hint="eastAsia" w:ascii="宋体" w:hAnsi="宋体" w:eastAsia="宋体" w:cs="宋体"/>
        </w:rPr>
      </w:pPr>
      <w:r>
        <w:rPr>
          <w:rFonts w:hint="eastAsia" w:ascii="宋体" w:hAnsi="宋体" w:eastAsia="宋体" w:cs="宋体"/>
        </w:rPr>
        <w:t>（3）Syslink 连接线 2 根；</w:t>
      </w:r>
    </w:p>
    <w:p w14:paraId="0794311E">
      <w:pPr>
        <w:pStyle w:val="12"/>
        <w:jc w:val="left"/>
        <w:rPr>
          <w:rFonts w:hint="eastAsia" w:ascii="宋体" w:hAnsi="宋体" w:eastAsia="宋体" w:cs="宋体"/>
        </w:rPr>
      </w:pPr>
      <w:r>
        <w:rPr>
          <w:rFonts w:hint="eastAsia" w:ascii="宋体" w:hAnsi="宋体" w:eastAsia="宋体" w:cs="宋体"/>
        </w:rPr>
        <w:t>（4）配套正版网线≥6m；</w:t>
      </w:r>
    </w:p>
    <w:p w14:paraId="48B0D232">
      <w:pPr>
        <w:pStyle w:val="12"/>
        <w:jc w:val="left"/>
        <w:rPr>
          <w:rFonts w:hint="eastAsia" w:ascii="宋体" w:hAnsi="宋体" w:eastAsia="宋体" w:cs="宋体"/>
        </w:rPr>
      </w:pPr>
      <w:r>
        <w:rPr>
          <w:rFonts w:hint="eastAsia" w:ascii="宋体" w:hAnsi="宋体" w:eastAsia="宋体" w:cs="宋体"/>
        </w:rPr>
        <w:t>（5）要求配套正版编程软件；</w:t>
      </w:r>
    </w:p>
    <w:p w14:paraId="64F6FCE0">
      <w:pPr>
        <w:pStyle w:val="12"/>
        <w:jc w:val="left"/>
        <w:rPr>
          <w:rFonts w:hint="eastAsia" w:ascii="宋体" w:hAnsi="宋体" w:eastAsia="宋体" w:cs="宋体"/>
        </w:rPr>
      </w:pPr>
      <w:r>
        <w:rPr>
          <w:rFonts w:hint="eastAsia" w:ascii="宋体" w:hAnsi="宋体" w:eastAsia="宋体" w:cs="宋体"/>
        </w:rPr>
        <w:t>1.3.6 Mini 控制面板</w:t>
      </w:r>
    </w:p>
    <w:p w14:paraId="72500CA4">
      <w:pPr>
        <w:pStyle w:val="12"/>
        <w:jc w:val="left"/>
        <w:rPr>
          <w:rFonts w:hint="eastAsia" w:ascii="宋体" w:hAnsi="宋体" w:eastAsia="宋体" w:cs="宋体"/>
        </w:rPr>
      </w:pPr>
      <w:r>
        <w:rPr>
          <w:rFonts w:hint="eastAsia" w:ascii="宋体" w:hAnsi="宋体" w:eastAsia="宋体" w:cs="宋体"/>
        </w:rPr>
        <w:t>控制面板接口控制器要求包含按钮、开关、信号灯、未使用的输入口和未使用的输出口的信号接口。至少包含以下功能：</w:t>
      </w:r>
    </w:p>
    <w:p w14:paraId="0401E5AB">
      <w:pPr>
        <w:pStyle w:val="12"/>
        <w:jc w:val="left"/>
        <w:rPr>
          <w:rFonts w:hint="eastAsia" w:ascii="宋体" w:hAnsi="宋体" w:eastAsia="宋体" w:cs="宋体"/>
        </w:rPr>
      </w:pPr>
      <w:r>
        <w:rPr>
          <w:rFonts w:hint="eastAsia" w:ascii="宋体" w:hAnsi="宋体" w:eastAsia="宋体" w:cs="宋体"/>
        </w:rPr>
        <w:t> 按钮（开关）：</w:t>
      </w:r>
    </w:p>
    <w:p w14:paraId="57D48EC9">
      <w:pPr>
        <w:pStyle w:val="12"/>
        <w:jc w:val="left"/>
        <w:rPr>
          <w:rFonts w:hint="eastAsia" w:ascii="宋体" w:hAnsi="宋体" w:eastAsia="宋体" w:cs="宋体"/>
        </w:rPr>
      </w:pPr>
      <w:r>
        <w:rPr>
          <w:rFonts w:hint="eastAsia" w:ascii="宋体" w:hAnsi="宋体" w:eastAsia="宋体" w:cs="宋体"/>
        </w:rPr>
        <w:t> 启动（常开）</w:t>
      </w:r>
    </w:p>
    <w:p w14:paraId="1076A1AB">
      <w:pPr>
        <w:pStyle w:val="12"/>
        <w:jc w:val="left"/>
        <w:rPr>
          <w:rFonts w:hint="eastAsia" w:ascii="宋体" w:hAnsi="宋体" w:eastAsia="宋体" w:cs="宋体"/>
        </w:rPr>
      </w:pPr>
      <w:r>
        <w:rPr>
          <w:rFonts w:hint="eastAsia" w:ascii="宋体" w:hAnsi="宋体" w:eastAsia="宋体" w:cs="宋体"/>
        </w:rPr>
        <w:t> 停止（常闭）</w:t>
      </w:r>
    </w:p>
    <w:p w14:paraId="3224DF22">
      <w:pPr>
        <w:pStyle w:val="12"/>
        <w:jc w:val="left"/>
        <w:rPr>
          <w:rFonts w:hint="eastAsia" w:ascii="宋体" w:hAnsi="宋体" w:eastAsia="宋体" w:cs="宋体"/>
        </w:rPr>
      </w:pPr>
      <w:r>
        <w:rPr>
          <w:rFonts w:hint="eastAsia" w:ascii="宋体" w:hAnsi="宋体" w:eastAsia="宋体" w:cs="宋体"/>
        </w:rPr>
        <w:t> 复位（常开）</w:t>
      </w:r>
    </w:p>
    <w:p w14:paraId="4B90F62A">
      <w:pPr>
        <w:pStyle w:val="12"/>
        <w:jc w:val="left"/>
        <w:rPr>
          <w:rFonts w:hint="eastAsia" w:ascii="宋体" w:hAnsi="宋体" w:eastAsia="宋体" w:cs="宋体"/>
        </w:rPr>
      </w:pPr>
      <w:r>
        <w:rPr>
          <w:rFonts w:hint="eastAsia" w:ascii="宋体" w:hAnsi="宋体" w:eastAsia="宋体" w:cs="宋体"/>
        </w:rPr>
        <w:t> 自动/手动（常开）</w:t>
      </w:r>
    </w:p>
    <w:p w14:paraId="134088CB">
      <w:pPr>
        <w:pStyle w:val="12"/>
        <w:jc w:val="left"/>
        <w:rPr>
          <w:rFonts w:hint="eastAsia" w:ascii="宋体" w:hAnsi="宋体" w:eastAsia="宋体" w:cs="宋体"/>
        </w:rPr>
      </w:pPr>
      <w:r>
        <w:rPr>
          <w:rFonts w:hint="eastAsia" w:ascii="宋体" w:hAnsi="宋体" w:eastAsia="宋体" w:cs="宋体"/>
        </w:rPr>
        <w:t> LED 灯： 启动 LED 复位 LED</w:t>
      </w:r>
    </w:p>
    <w:p w14:paraId="2DCC9DED">
      <w:pPr>
        <w:pStyle w:val="12"/>
        <w:jc w:val="left"/>
        <w:rPr>
          <w:rFonts w:hint="eastAsia" w:ascii="宋体" w:hAnsi="宋体" w:eastAsia="宋体" w:cs="宋体"/>
        </w:rPr>
      </w:pPr>
      <w:r>
        <w:rPr>
          <w:rFonts w:hint="eastAsia" w:ascii="宋体" w:hAnsi="宋体" w:eastAsia="宋体" w:cs="宋体"/>
        </w:rPr>
        <w:t>1.3.7 触摸屏</w:t>
      </w:r>
    </w:p>
    <w:p w14:paraId="1DD36032">
      <w:pPr>
        <w:pStyle w:val="12"/>
        <w:jc w:val="left"/>
        <w:rPr>
          <w:rFonts w:hint="eastAsia" w:ascii="宋体" w:hAnsi="宋体" w:eastAsia="宋体" w:cs="宋体"/>
        </w:rPr>
      </w:pPr>
      <w:r>
        <w:rPr>
          <w:rFonts w:hint="eastAsia" w:ascii="宋体" w:hAnsi="宋体" w:eastAsia="宋体" w:cs="宋体"/>
        </w:rPr>
        <w:t>（1）显示器尺寸：≥7（寸）;</w:t>
      </w:r>
    </w:p>
    <w:p w14:paraId="511E227F">
      <w:pPr>
        <w:pStyle w:val="12"/>
        <w:jc w:val="left"/>
        <w:rPr>
          <w:rFonts w:hint="eastAsia" w:ascii="宋体" w:hAnsi="宋体" w:eastAsia="宋体" w:cs="宋体"/>
        </w:rPr>
      </w:pPr>
      <w:r>
        <w:rPr>
          <w:rFonts w:hint="eastAsia" w:ascii="宋体" w:hAnsi="宋体" w:eastAsia="宋体" w:cs="宋体"/>
        </w:rPr>
        <w:t>（2）分辨率：≥800*480;</w:t>
      </w:r>
    </w:p>
    <w:p w14:paraId="0C1E5528">
      <w:pPr>
        <w:pStyle w:val="12"/>
        <w:jc w:val="left"/>
        <w:rPr>
          <w:rFonts w:hint="eastAsia" w:ascii="宋体" w:hAnsi="宋体" w:eastAsia="宋体" w:cs="宋体"/>
        </w:rPr>
      </w:pPr>
      <w:r>
        <w:rPr>
          <w:rFonts w:hint="eastAsia" w:ascii="宋体" w:hAnsi="宋体" w:eastAsia="宋体" w:cs="宋体"/>
        </w:rPr>
        <w:t>（3）额定操作电压：DC24V;</w:t>
      </w:r>
    </w:p>
    <w:p w14:paraId="02B58C0B">
      <w:pPr>
        <w:pStyle w:val="12"/>
        <w:jc w:val="left"/>
        <w:rPr>
          <w:rFonts w:hint="eastAsia" w:ascii="宋体" w:hAnsi="宋体" w:eastAsia="宋体" w:cs="宋体"/>
        </w:rPr>
      </w:pPr>
      <w:r>
        <w:rPr>
          <w:rFonts w:hint="eastAsia" w:ascii="宋体" w:hAnsi="宋体" w:eastAsia="宋体" w:cs="宋体"/>
        </w:rPr>
        <w:t>（4）TFT（彩色）显示屏，支持多点触摸；</w:t>
      </w:r>
    </w:p>
    <w:p w14:paraId="09CA316E">
      <w:pPr>
        <w:pStyle w:val="12"/>
        <w:jc w:val="left"/>
        <w:rPr>
          <w:rFonts w:hint="eastAsia" w:ascii="宋体" w:hAnsi="宋体" w:eastAsia="宋体" w:cs="宋体"/>
        </w:rPr>
      </w:pPr>
      <w:r>
        <w:rPr>
          <w:rFonts w:hint="eastAsia" w:ascii="宋体" w:hAnsi="宋体" w:eastAsia="宋体" w:cs="宋体"/>
        </w:rPr>
        <w:t>（5）支持网络通讯 PROFINET 环境的 HMI 基本功能，包含支架；</w:t>
      </w:r>
    </w:p>
    <w:p w14:paraId="2CD6FB9E">
      <w:pPr>
        <w:pStyle w:val="12"/>
        <w:jc w:val="left"/>
        <w:rPr>
          <w:rFonts w:hint="eastAsia" w:ascii="宋体" w:hAnsi="宋体" w:eastAsia="宋体" w:cs="宋体"/>
        </w:rPr>
      </w:pPr>
      <w:r>
        <w:rPr>
          <w:rFonts w:hint="eastAsia" w:ascii="宋体" w:hAnsi="宋体" w:eastAsia="宋体" w:cs="宋体"/>
        </w:rPr>
        <w:t>1.3.8 仿真盒</w:t>
      </w:r>
    </w:p>
    <w:p w14:paraId="4E7F9EC6">
      <w:pPr>
        <w:pStyle w:val="12"/>
        <w:jc w:val="left"/>
        <w:rPr>
          <w:rFonts w:hint="eastAsia" w:ascii="宋体" w:hAnsi="宋体" w:eastAsia="宋体" w:cs="宋体"/>
        </w:rPr>
      </w:pPr>
      <w:r>
        <w:rPr>
          <w:rFonts w:hint="eastAsia" w:ascii="宋体" w:hAnsi="宋体" w:eastAsia="宋体" w:cs="宋体"/>
        </w:rPr>
        <w:t>（1）要求材质为铝制外壳；</w:t>
      </w:r>
    </w:p>
    <w:p w14:paraId="10FB0057">
      <w:pPr>
        <w:pStyle w:val="12"/>
        <w:jc w:val="left"/>
        <w:rPr>
          <w:rFonts w:hint="eastAsia" w:ascii="宋体" w:hAnsi="宋体" w:eastAsia="宋体" w:cs="宋体"/>
        </w:rPr>
      </w:pPr>
      <w:r>
        <w:rPr>
          <w:rFonts w:hint="eastAsia" w:ascii="宋体" w:hAnsi="宋体" w:eastAsia="宋体" w:cs="宋体"/>
        </w:rPr>
        <w:t>（2）≥8 路开关量输入、≥8 路开关量输出，≥2 路模拟量输入、≥2 路模拟量输出；</w:t>
      </w:r>
    </w:p>
    <w:p w14:paraId="0848C2B4">
      <w:pPr>
        <w:pStyle w:val="12"/>
        <w:jc w:val="left"/>
        <w:rPr>
          <w:rFonts w:hint="eastAsia" w:ascii="宋体" w:hAnsi="宋体" w:eastAsia="宋体" w:cs="宋体"/>
        </w:rPr>
      </w:pPr>
      <w:r>
        <w:rPr>
          <w:rFonts w:hint="eastAsia" w:ascii="宋体" w:hAnsi="宋体" w:eastAsia="宋体" w:cs="宋体"/>
        </w:rPr>
        <w:t>（3）8 路连续脉冲（1Hz—20KHz），分辨率 1Hz，支持 10、100、1K 快速调节；</w:t>
      </w:r>
    </w:p>
    <w:p w14:paraId="6A623699">
      <w:pPr>
        <w:pStyle w:val="12"/>
        <w:jc w:val="left"/>
        <w:rPr>
          <w:rFonts w:hint="eastAsia" w:ascii="宋体" w:hAnsi="宋体" w:eastAsia="宋体" w:cs="宋体"/>
        </w:rPr>
      </w:pPr>
      <w:r>
        <w:rPr>
          <w:rFonts w:hint="eastAsia" w:ascii="宋体" w:hAnsi="宋体" w:eastAsia="宋体" w:cs="宋体"/>
        </w:rPr>
        <w:t>（4）I0 和脉冲输出带 LED 显示；</w:t>
      </w:r>
    </w:p>
    <w:p w14:paraId="54D58929">
      <w:pPr>
        <w:pStyle w:val="12"/>
        <w:jc w:val="left"/>
        <w:rPr>
          <w:rFonts w:hint="eastAsia" w:ascii="宋体" w:hAnsi="宋体" w:eastAsia="宋体" w:cs="宋体"/>
        </w:rPr>
      </w:pPr>
      <w:r>
        <w:rPr>
          <w:rFonts w:hint="eastAsia" w:ascii="宋体" w:hAnsi="宋体" w:eastAsia="宋体" w:cs="宋体"/>
        </w:rPr>
        <w:t>（5）LCD 显示；</w:t>
      </w:r>
    </w:p>
    <w:p w14:paraId="1EFBD438">
      <w:pPr>
        <w:pStyle w:val="12"/>
        <w:jc w:val="left"/>
        <w:rPr>
          <w:rFonts w:hint="eastAsia" w:ascii="宋体" w:hAnsi="宋体" w:eastAsia="宋体" w:cs="宋体"/>
        </w:rPr>
      </w:pPr>
      <w:r>
        <w:rPr>
          <w:rFonts w:hint="eastAsia" w:ascii="宋体" w:hAnsi="宋体" w:eastAsia="宋体" w:cs="宋体"/>
        </w:rPr>
        <w:t>（6）配套电源线、开关量反交电缆、模拟量反交电缆；</w:t>
      </w:r>
    </w:p>
    <w:p w14:paraId="3E093884">
      <w:pPr>
        <w:pStyle w:val="12"/>
        <w:jc w:val="left"/>
        <w:rPr>
          <w:rFonts w:hint="eastAsia" w:ascii="宋体" w:hAnsi="宋体" w:eastAsia="宋体" w:cs="宋体"/>
        </w:rPr>
      </w:pPr>
      <w:r>
        <w:rPr>
          <w:rFonts w:hint="eastAsia" w:ascii="宋体" w:hAnsi="宋体" w:eastAsia="宋体" w:cs="宋体"/>
        </w:rPr>
        <w:t>▲（7）要求提供该模块的配套中文使用说明书。</w:t>
      </w:r>
    </w:p>
    <w:p w14:paraId="02CA076F">
      <w:pPr>
        <w:pStyle w:val="12"/>
        <w:jc w:val="left"/>
        <w:rPr>
          <w:rFonts w:hint="eastAsia" w:ascii="宋体" w:hAnsi="宋体" w:eastAsia="宋体" w:cs="宋体"/>
        </w:rPr>
      </w:pPr>
      <w:r>
        <w:rPr>
          <w:rFonts w:hint="eastAsia" w:ascii="宋体" w:hAnsi="宋体" w:eastAsia="宋体" w:cs="宋体"/>
        </w:rPr>
        <w:t>1.3.9 系统移动平台</w:t>
      </w:r>
    </w:p>
    <w:p w14:paraId="1B8BDAE2">
      <w:pPr>
        <w:pStyle w:val="12"/>
        <w:jc w:val="left"/>
        <w:rPr>
          <w:rFonts w:hint="eastAsia" w:ascii="宋体" w:hAnsi="宋体" w:eastAsia="宋体" w:cs="宋体"/>
        </w:rPr>
      </w:pPr>
      <w:r>
        <w:rPr>
          <w:rFonts w:hint="eastAsia" w:ascii="宋体" w:hAnsi="宋体" w:eastAsia="宋体" w:cs="宋体"/>
        </w:rPr>
        <w:t>（1）要求结构紧凑、可移动。侧面和背面相应的通孔用于有序的电缆布置。车底错位安装直径 50 毫米万向带刹车脚轮，脚轮间无干涉；</w:t>
      </w:r>
    </w:p>
    <w:p w14:paraId="5F58D45D">
      <w:pPr>
        <w:pStyle w:val="12"/>
        <w:jc w:val="left"/>
        <w:rPr>
          <w:rFonts w:hint="eastAsia" w:ascii="宋体" w:hAnsi="宋体" w:eastAsia="宋体" w:cs="宋体"/>
        </w:rPr>
      </w:pPr>
      <w:r>
        <w:rPr>
          <w:rFonts w:hint="eastAsia" w:ascii="宋体" w:hAnsi="宋体" w:eastAsia="宋体" w:cs="宋体"/>
        </w:rPr>
        <w:t>（2）尺寸：高≤750mm；宽≤350mm；深≤700mm</w:t>
      </w:r>
    </w:p>
    <w:p w14:paraId="6DD7D078">
      <w:pPr>
        <w:pStyle w:val="12"/>
        <w:jc w:val="left"/>
        <w:rPr>
          <w:rFonts w:hint="eastAsia" w:ascii="宋体" w:hAnsi="宋体" w:eastAsia="宋体" w:cs="宋体"/>
        </w:rPr>
      </w:pPr>
      <w:r>
        <w:rPr>
          <w:rFonts w:hint="eastAsia" w:ascii="宋体" w:hAnsi="宋体" w:eastAsia="宋体" w:cs="宋体"/>
        </w:rPr>
        <w:t>（3）配套型材安装板：</w:t>
      </w:r>
    </w:p>
    <w:p w14:paraId="0B657FE3">
      <w:pPr>
        <w:pStyle w:val="12"/>
        <w:jc w:val="left"/>
        <w:rPr>
          <w:rFonts w:hint="eastAsia" w:ascii="宋体" w:hAnsi="宋体" w:eastAsia="宋体" w:cs="宋体"/>
        </w:rPr>
      </w:pPr>
      <w:r>
        <w:rPr>
          <w:rFonts w:hint="eastAsia" w:ascii="宋体" w:hAnsi="宋体" w:eastAsia="宋体" w:cs="宋体"/>
        </w:rPr>
        <w:t>a）材质：铝合金面板，8-10μ阳极本色氧化喷砂处理；</w:t>
      </w:r>
    </w:p>
    <w:p w14:paraId="4FE7D758">
      <w:pPr>
        <w:pStyle w:val="12"/>
        <w:jc w:val="left"/>
        <w:rPr>
          <w:rFonts w:hint="eastAsia" w:ascii="宋体" w:hAnsi="宋体" w:eastAsia="宋体" w:cs="宋体"/>
        </w:rPr>
      </w:pPr>
      <w:r>
        <w:rPr>
          <w:rFonts w:hint="eastAsia" w:ascii="宋体" w:hAnsi="宋体" w:eastAsia="宋体" w:cs="宋体"/>
        </w:rPr>
        <w:t>b）厚度：≥32mm</w:t>
      </w:r>
    </w:p>
    <w:p w14:paraId="0C3D276F">
      <w:pPr>
        <w:pStyle w:val="12"/>
        <w:jc w:val="left"/>
        <w:rPr>
          <w:rFonts w:hint="eastAsia" w:ascii="宋体" w:hAnsi="宋体" w:eastAsia="宋体" w:cs="宋体"/>
        </w:rPr>
      </w:pPr>
      <w:r>
        <w:rPr>
          <w:rFonts w:hint="eastAsia" w:ascii="宋体" w:hAnsi="宋体" w:eastAsia="宋体" w:cs="宋体"/>
        </w:rPr>
        <w:t>c）铝板外观参考尺寸： 700mm*700mm</w:t>
      </w:r>
    </w:p>
    <w:p w14:paraId="211E8659">
      <w:pPr>
        <w:pStyle w:val="12"/>
        <w:jc w:val="left"/>
        <w:rPr>
          <w:rFonts w:hint="eastAsia" w:ascii="宋体" w:hAnsi="宋体" w:eastAsia="宋体" w:cs="宋体"/>
        </w:rPr>
      </w:pPr>
      <w:r>
        <w:rPr>
          <w:rFonts w:hint="eastAsia" w:ascii="宋体" w:hAnsi="宋体" w:eastAsia="宋体" w:cs="宋体"/>
        </w:rPr>
        <w:t>1.3.10 教学资源</w:t>
      </w:r>
    </w:p>
    <w:p w14:paraId="2B14C093">
      <w:pPr>
        <w:pStyle w:val="12"/>
        <w:jc w:val="left"/>
        <w:rPr>
          <w:rFonts w:hint="eastAsia" w:ascii="宋体" w:hAnsi="宋体" w:eastAsia="宋体" w:cs="宋体"/>
        </w:rPr>
      </w:pPr>
      <w:r>
        <w:rPr>
          <w:rFonts w:hint="eastAsia" w:ascii="宋体" w:hAnsi="宋体" w:eastAsia="宋体" w:cs="宋体"/>
        </w:rPr>
        <w:t>（1）制造商需能提供与设备配套的用于竞赛训练的国赛或省赛试题资料 5 套。</w:t>
      </w:r>
    </w:p>
    <w:p w14:paraId="562CA2BD">
      <w:pPr>
        <w:pStyle w:val="12"/>
        <w:jc w:val="left"/>
        <w:rPr>
          <w:rFonts w:hint="eastAsia" w:ascii="宋体" w:hAnsi="宋体" w:eastAsia="宋体" w:cs="宋体"/>
        </w:rPr>
      </w:pPr>
      <w:r>
        <w:rPr>
          <w:rFonts w:hint="eastAsia" w:ascii="宋体" w:hAnsi="宋体" w:eastAsia="宋体" w:cs="宋体"/>
        </w:rPr>
        <w:t>▲（2）需配套正式出版的教材资料，提供与设备相匹配的教学内容的截屏并圈出匹配内容。</w:t>
      </w:r>
    </w:p>
    <w:p w14:paraId="096C169D">
      <w:pPr>
        <w:pStyle w:val="12"/>
        <w:jc w:val="left"/>
        <w:rPr>
          <w:rFonts w:hint="eastAsia" w:ascii="宋体" w:hAnsi="宋体" w:eastAsia="宋体" w:cs="宋体"/>
        </w:rPr>
      </w:pPr>
      <w:r>
        <w:rPr>
          <w:rFonts w:hint="eastAsia" w:ascii="宋体" w:hAnsi="宋体" w:eastAsia="宋体" w:cs="宋体"/>
        </w:rPr>
        <w:t>（3）需配套工作单元整体的实训指导书或工作手册，内容包含且不限于工作站气路电路回路图及装配图。</w:t>
      </w:r>
    </w:p>
    <w:p w14:paraId="1529B7CA">
      <w:pPr>
        <w:pStyle w:val="12"/>
        <w:jc w:val="left"/>
        <w:rPr>
          <w:rFonts w:hint="eastAsia" w:ascii="宋体" w:hAnsi="宋体" w:eastAsia="宋体" w:cs="宋体"/>
        </w:rPr>
      </w:pPr>
      <w:r>
        <w:rPr>
          <w:rFonts w:hint="eastAsia" w:ascii="宋体" w:hAnsi="宋体" w:eastAsia="宋体" w:cs="宋体"/>
        </w:rPr>
        <w:t>1.3.11、ET 200SP 分布式 I/O</w:t>
      </w:r>
    </w:p>
    <w:p w14:paraId="5CA70094">
      <w:pPr>
        <w:pStyle w:val="12"/>
        <w:jc w:val="left"/>
        <w:rPr>
          <w:rFonts w:hint="eastAsia" w:ascii="宋体" w:hAnsi="宋体" w:eastAsia="宋体" w:cs="宋体"/>
        </w:rPr>
      </w:pPr>
      <w:r>
        <w:rPr>
          <w:rFonts w:hint="eastAsia" w:ascii="宋体" w:hAnsi="宋体" w:eastAsia="宋体" w:cs="宋体"/>
        </w:rPr>
        <w:t>支持 PROFINET 和 PROFIBUS，单个模块最多支持 16 通道，直插式端子，无需工具单手可以完成接线 ，输入电源：AC220V 10A；直流输出：DC24V/4A；预留扩展接口，方便扩展模拟量等模块；集成DI/DQ/AI/AQ的PCI工控总线接口，快速连接至控制对输入输出接口，避免复杂的电气连接线； 1个接口模块M155-6PN 带有服务模块，PROFINET通信方式 1个总线适配器模块BA2xRJ45 ； 1个数字量16输入模块DI16*24V DC； 1个数字量16输出模块DQ16*24VCD/0.5A； 1个模拟量4输入模块AI4*U/I； 1个模拟量4输出模块AQ4*U/I， 3个基座单元； 1个基座单元</w:t>
      </w:r>
    </w:p>
    <w:p w14:paraId="12AC325F">
      <w:pPr>
        <w:pStyle w:val="12"/>
        <w:jc w:val="left"/>
        <w:rPr>
          <w:rFonts w:hint="eastAsia" w:ascii="宋体" w:hAnsi="宋体" w:eastAsia="宋体" w:cs="宋体"/>
        </w:rPr>
      </w:pPr>
      <w:r>
        <w:rPr>
          <w:rFonts w:hint="eastAsia" w:ascii="宋体" w:hAnsi="宋体" w:eastAsia="宋体" w:cs="宋体"/>
        </w:rPr>
        <w:t>2.包装工作站：</w:t>
      </w:r>
    </w:p>
    <w:p w14:paraId="731515DD">
      <w:pPr>
        <w:pStyle w:val="12"/>
        <w:jc w:val="left"/>
        <w:rPr>
          <w:rFonts w:hint="eastAsia" w:ascii="宋体" w:hAnsi="宋体" w:eastAsia="宋体" w:cs="宋体"/>
        </w:rPr>
      </w:pPr>
      <w:r>
        <w:rPr>
          <w:rFonts w:hint="eastAsia" w:ascii="宋体" w:hAnsi="宋体" w:eastAsia="宋体" w:cs="宋体"/>
        </w:rPr>
        <w:t>2.1 功能要求：对杯型壳体、盖子供给、传送、加盖及包装质量检测。结构组成：供料仓模块、杯盖供料模块、自适应吸盘搬运手模块、皮带输送机 1 模块、平转阻隔器模块、龙门检测 1 模块、 1 位载货台模块、电气接口转换模块、过滤减压阀模块等组成，需提供实物配图。</w:t>
      </w:r>
    </w:p>
    <w:p w14:paraId="0AF4B7B3">
      <w:pPr>
        <w:pStyle w:val="12"/>
        <w:jc w:val="left"/>
        <w:rPr>
          <w:rFonts w:hint="eastAsia" w:ascii="宋体" w:hAnsi="宋体" w:eastAsia="宋体" w:cs="宋体"/>
        </w:rPr>
      </w:pPr>
      <w:r>
        <w:rPr>
          <w:rFonts w:hint="eastAsia" w:ascii="宋体" w:hAnsi="宋体" w:eastAsia="宋体" w:cs="宋体"/>
        </w:rPr>
        <w:t>2.2 技术要求：</w:t>
      </w:r>
    </w:p>
    <w:p w14:paraId="6937FD9B">
      <w:pPr>
        <w:pStyle w:val="12"/>
        <w:jc w:val="left"/>
        <w:rPr>
          <w:rFonts w:hint="eastAsia" w:ascii="宋体" w:hAnsi="宋体" w:eastAsia="宋体" w:cs="宋体"/>
        </w:rPr>
      </w:pPr>
      <w:r>
        <w:rPr>
          <w:rFonts w:hint="eastAsia" w:ascii="宋体" w:hAnsi="宋体" w:eastAsia="宋体" w:cs="宋体"/>
        </w:rPr>
        <w:t>（1）工作气压：0.4～0.6MPa</w:t>
      </w:r>
    </w:p>
    <w:p w14:paraId="24090A43">
      <w:pPr>
        <w:pStyle w:val="12"/>
        <w:jc w:val="left"/>
        <w:rPr>
          <w:rFonts w:hint="eastAsia" w:ascii="宋体" w:hAnsi="宋体" w:eastAsia="宋体" w:cs="宋体"/>
        </w:rPr>
      </w:pPr>
      <w:r>
        <w:rPr>
          <w:rFonts w:hint="eastAsia" w:ascii="宋体" w:hAnsi="宋体" w:eastAsia="宋体" w:cs="宋体"/>
        </w:rPr>
        <w:t>（2）电源电压：24VDC（3）方形/圆形工件尺寸：≥40mm</w:t>
      </w:r>
    </w:p>
    <w:p w14:paraId="09DB75D9">
      <w:pPr>
        <w:pStyle w:val="12"/>
        <w:jc w:val="left"/>
        <w:rPr>
          <w:rFonts w:hint="eastAsia" w:ascii="宋体" w:hAnsi="宋体" w:eastAsia="宋体" w:cs="宋体"/>
        </w:rPr>
      </w:pPr>
      <w:r>
        <w:rPr>
          <w:rFonts w:hint="eastAsia" w:ascii="宋体" w:hAnsi="宋体" w:eastAsia="宋体" w:cs="宋体"/>
        </w:rPr>
        <w:t>（4）外形参考尺寸：350×720×400mm</w:t>
      </w:r>
    </w:p>
    <w:p w14:paraId="4344C093">
      <w:pPr>
        <w:pStyle w:val="12"/>
        <w:jc w:val="left"/>
        <w:rPr>
          <w:rFonts w:hint="eastAsia" w:ascii="宋体" w:hAnsi="宋体" w:eastAsia="宋体" w:cs="宋体"/>
        </w:rPr>
      </w:pPr>
      <w:r>
        <w:rPr>
          <w:rFonts w:hint="eastAsia" w:ascii="宋体" w:hAnsi="宋体" w:eastAsia="宋体" w:cs="宋体"/>
        </w:rPr>
        <w:t>（5）龙门检测范围：0-40mm、模拟量输出：1～5V</w:t>
      </w:r>
    </w:p>
    <w:p w14:paraId="3F9CB0D4">
      <w:pPr>
        <w:pStyle w:val="12"/>
        <w:jc w:val="left"/>
        <w:rPr>
          <w:rFonts w:hint="eastAsia" w:ascii="宋体" w:hAnsi="宋体" w:eastAsia="宋体" w:cs="宋体"/>
        </w:rPr>
      </w:pPr>
      <w:r>
        <w:rPr>
          <w:rFonts w:hint="eastAsia" w:ascii="宋体" w:hAnsi="宋体" w:eastAsia="宋体" w:cs="宋体"/>
        </w:rPr>
        <w:t>（6）搬运手水平位移最大距离 120mm、</w:t>
      </w:r>
    </w:p>
    <w:p w14:paraId="79387E4B">
      <w:pPr>
        <w:pStyle w:val="12"/>
        <w:jc w:val="left"/>
        <w:rPr>
          <w:rFonts w:hint="eastAsia" w:ascii="宋体" w:hAnsi="宋体" w:eastAsia="宋体" w:cs="宋体"/>
        </w:rPr>
      </w:pPr>
      <w:r>
        <w:rPr>
          <w:rFonts w:hint="eastAsia" w:ascii="宋体" w:hAnsi="宋体" w:eastAsia="宋体" w:cs="宋体"/>
        </w:rPr>
        <w:t>（7） 自适应距离≥ 25mm</w:t>
      </w:r>
    </w:p>
    <w:p w14:paraId="0751F5D1">
      <w:pPr>
        <w:pStyle w:val="12"/>
        <w:jc w:val="left"/>
        <w:rPr>
          <w:rFonts w:hint="eastAsia" w:ascii="宋体" w:hAnsi="宋体" w:eastAsia="宋体" w:cs="宋体"/>
        </w:rPr>
      </w:pPr>
      <w:r>
        <w:rPr>
          <w:rFonts w:hint="eastAsia" w:ascii="宋体" w:hAnsi="宋体" w:eastAsia="宋体" w:cs="宋体"/>
        </w:rPr>
        <w:t>2.3 包含如下模块：</w:t>
      </w:r>
    </w:p>
    <w:p w14:paraId="6E4FFC0F">
      <w:pPr>
        <w:pStyle w:val="12"/>
        <w:jc w:val="left"/>
        <w:rPr>
          <w:rFonts w:hint="eastAsia" w:ascii="宋体" w:hAnsi="宋体" w:eastAsia="宋体" w:cs="宋体"/>
        </w:rPr>
      </w:pPr>
      <w:r>
        <w:rPr>
          <w:rFonts w:hint="eastAsia" w:ascii="宋体" w:hAnsi="宋体" w:eastAsia="宋体" w:cs="宋体"/>
        </w:rPr>
        <w:t>2.3.1 供料仓模块功能：</w:t>
      </w:r>
    </w:p>
    <w:p w14:paraId="0D85C0F1">
      <w:pPr>
        <w:pStyle w:val="12"/>
        <w:jc w:val="left"/>
        <w:rPr>
          <w:rFonts w:hint="eastAsia" w:ascii="宋体" w:hAnsi="宋体" w:eastAsia="宋体" w:cs="宋体"/>
        </w:rPr>
      </w:pPr>
      <w:r>
        <w:rPr>
          <w:rFonts w:hint="eastAsia" w:ascii="宋体" w:hAnsi="宋体" w:eastAsia="宋体" w:cs="宋体"/>
        </w:rPr>
        <w:t>（1）供料仓模块功能：模块可以分离叠放在料桶管道内的杯体工件。由一个双作用气缸将其逐个推出。该模块可进行多平台升级，能够升级至少两种竞赛应用平台，投标文件中需提供升级后的竞赛平台设备实物图及竞赛现场照片。</w:t>
      </w:r>
    </w:p>
    <w:p w14:paraId="5F4789D5">
      <w:pPr>
        <w:pStyle w:val="12"/>
        <w:jc w:val="left"/>
        <w:rPr>
          <w:rFonts w:hint="eastAsia" w:ascii="宋体" w:hAnsi="宋体" w:eastAsia="宋体" w:cs="宋体"/>
        </w:rPr>
      </w:pPr>
      <w:r>
        <w:rPr>
          <w:rFonts w:hint="eastAsia" w:ascii="宋体" w:hAnsi="宋体" w:eastAsia="宋体" w:cs="宋体"/>
        </w:rPr>
        <w:t>（2）模块结构组成：透明有机玻璃圆筒，型材基体，方圆形地脚盘，门式井架，推料舌块，柱形气缸，电磁阀模块、光纤传感器、磁传感器、电气接口模块等组成。投标文件中需提供对应的实物图及装配爆炸图，展示装配逻辑，可遮盖专利结构，标注核心部件的通用规格，无需具体尺寸。</w:t>
      </w:r>
    </w:p>
    <w:p w14:paraId="567F97A1">
      <w:pPr>
        <w:pStyle w:val="12"/>
        <w:jc w:val="left"/>
        <w:rPr>
          <w:rFonts w:hint="eastAsia" w:ascii="宋体" w:hAnsi="宋体" w:eastAsia="宋体" w:cs="宋体"/>
        </w:rPr>
      </w:pPr>
      <w:r>
        <w:rPr>
          <w:rFonts w:hint="eastAsia" w:ascii="宋体" w:hAnsi="宋体" w:eastAsia="宋体" w:cs="宋体"/>
        </w:rPr>
        <w:t>（3）投标文件中需提供配套该模块中文操作手册截图，内容需包含不限于设备简介外观图、模块硬件结构组成图、工作流程、气动原理图、电气接线图、15针 IO 端子对应的颜色及说明图表等，提供相关截图证明。</w:t>
      </w:r>
    </w:p>
    <w:p w14:paraId="77E8E0DD">
      <w:pPr>
        <w:pStyle w:val="12"/>
        <w:jc w:val="left"/>
        <w:rPr>
          <w:rFonts w:hint="eastAsia" w:ascii="宋体" w:hAnsi="宋体" w:eastAsia="宋体" w:cs="宋体"/>
        </w:rPr>
      </w:pPr>
      <w:r>
        <w:rPr>
          <w:rFonts w:hint="eastAsia" w:ascii="宋体" w:hAnsi="宋体" w:eastAsia="宋体" w:cs="宋体"/>
        </w:rPr>
        <w:t>（4）技术要求：</w:t>
      </w:r>
    </w:p>
    <w:p w14:paraId="3C077546">
      <w:pPr>
        <w:pStyle w:val="12"/>
        <w:jc w:val="left"/>
        <w:rPr>
          <w:rFonts w:hint="eastAsia" w:ascii="宋体" w:hAnsi="宋体" w:eastAsia="宋体" w:cs="宋体"/>
        </w:rPr>
      </w:pPr>
      <w:r>
        <w:rPr>
          <w:rFonts w:hint="eastAsia" w:ascii="宋体" w:hAnsi="宋体" w:eastAsia="宋体" w:cs="宋体"/>
        </w:rPr>
        <w:t>1） 工作电压：24VDC</w:t>
      </w:r>
    </w:p>
    <w:p w14:paraId="052AC2FE">
      <w:pPr>
        <w:pStyle w:val="12"/>
        <w:jc w:val="left"/>
        <w:rPr>
          <w:rFonts w:hint="eastAsia" w:ascii="宋体" w:hAnsi="宋体" w:eastAsia="宋体" w:cs="宋体"/>
        </w:rPr>
      </w:pPr>
      <w:r>
        <w:rPr>
          <w:rFonts w:hint="eastAsia" w:ascii="宋体" w:hAnsi="宋体" w:eastAsia="宋体" w:cs="宋体"/>
        </w:rPr>
        <w:t>2） 工作气压：0.4～0.6MPa</w:t>
      </w:r>
    </w:p>
    <w:p w14:paraId="54874577">
      <w:pPr>
        <w:pStyle w:val="12"/>
        <w:jc w:val="left"/>
        <w:rPr>
          <w:rFonts w:hint="eastAsia" w:ascii="宋体" w:hAnsi="宋体" w:eastAsia="宋体" w:cs="宋体"/>
        </w:rPr>
      </w:pPr>
      <w:r>
        <w:rPr>
          <w:rFonts w:hint="eastAsia" w:ascii="宋体" w:hAnsi="宋体" w:eastAsia="宋体" w:cs="宋体"/>
        </w:rPr>
        <w:t>3） 圆形工件尺寸： ≥40mm</w:t>
      </w:r>
    </w:p>
    <w:p w14:paraId="6480D319">
      <w:pPr>
        <w:pStyle w:val="12"/>
        <w:jc w:val="left"/>
        <w:rPr>
          <w:rFonts w:hint="eastAsia" w:ascii="宋体" w:hAnsi="宋体" w:eastAsia="宋体" w:cs="宋体"/>
        </w:rPr>
      </w:pPr>
      <w:r>
        <w:rPr>
          <w:rFonts w:hint="eastAsia" w:ascii="宋体" w:hAnsi="宋体" w:eastAsia="宋体" w:cs="宋体"/>
        </w:rPr>
        <w:t>4） 圆形工件高度：15—28mm</w:t>
      </w:r>
    </w:p>
    <w:p w14:paraId="3D2F635D">
      <w:pPr>
        <w:pStyle w:val="12"/>
        <w:jc w:val="left"/>
        <w:rPr>
          <w:rFonts w:hint="eastAsia" w:ascii="宋体" w:hAnsi="宋体" w:eastAsia="宋体" w:cs="宋体"/>
        </w:rPr>
      </w:pPr>
      <w:r>
        <w:rPr>
          <w:rFonts w:hint="eastAsia" w:ascii="宋体" w:hAnsi="宋体" w:eastAsia="宋体" w:cs="宋体"/>
        </w:rPr>
        <w:t>5) 外形尺寸：≥200×90×350mm。</w:t>
      </w:r>
    </w:p>
    <w:p w14:paraId="5E03B53C">
      <w:pPr>
        <w:pStyle w:val="12"/>
        <w:jc w:val="left"/>
        <w:rPr>
          <w:rFonts w:hint="eastAsia" w:ascii="宋体" w:hAnsi="宋体" w:eastAsia="宋体" w:cs="宋体"/>
        </w:rPr>
      </w:pPr>
      <w:r>
        <w:rPr>
          <w:rFonts w:hint="eastAsia" w:ascii="宋体" w:hAnsi="宋体" w:eastAsia="宋体" w:cs="宋体"/>
        </w:rPr>
        <w:t>2.3.2 杯盖供料仓模功能：</w:t>
      </w:r>
    </w:p>
    <w:p w14:paraId="4F4C9F74">
      <w:pPr>
        <w:pStyle w:val="12"/>
        <w:jc w:val="left"/>
        <w:rPr>
          <w:rFonts w:hint="eastAsia" w:ascii="宋体" w:hAnsi="宋体" w:eastAsia="宋体" w:cs="宋体"/>
        </w:rPr>
      </w:pPr>
      <w:r>
        <w:rPr>
          <w:rFonts w:hint="eastAsia" w:ascii="宋体" w:hAnsi="宋体" w:eastAsia="宋体" w:cs="宋体"/>
        </w:rPr>
        <w:t>（1）杯盖供料仓模功能：要求模块可以分离叠放在料桶管道内的杯盖工件。由一个双作用气缸将其逐个推出。模块结构组成：透明有机玻璃圆筒，型材基体，方圆形地脚盘，门式井架，推料舌块，柱形气缸，电磁阀模块、光纤传感器、磁传感器、电气接口模块等组成。</w:t>
      </w:r>
    </w:p>
    <w:p w14:paraId="498E0B1E">
      <w:pPr>
        <w:pStyle w:val="12"/>
        <w:jc w:val="left"/>
        <w:rPr>
          <w:rFonts w:hint="eastAsia" w:ascii="宋体" w:hAnsi="宋体" w:eastAsia="宋体" w:cs="宋体"/>
        </w:rPr>
      </w:pPr>
      <w:r>
        <w:rPr>
          <w:rFonts w:hint="eastAsia" w:ascii="宋体" w:hAnsi="宋体" w:eastAsia="宋体" w:cs="宋体"/>
        </w:rPr>
        <w:t>（2）技术数据：</w:t>
      </w:r>
    </w:p>
    <w:p w14:paraId="694D5FE7">
      <w:pPr>
        <w:pStyle w:val="12"/>
        <w:jc w:val="left"/>
        <w:rPr>
          <w:rFonts w:hint="eastAsia" w:ascii="宋体" w:hAnsi="宋体" w:eastAsia="宋体" w:cs="宋体"/>
        </w:rPr>
      </w:pPr>
      <w:r>
        <w:rPr>
          <w:rFonts w:hint="eastAsia" w:ascii="宋体" w:hAnsi="宋体" w:eastAsia="宋体" w:cs="宋体"/>
        </w:rPr>
        <w:t>1） 工作电压：24VDC</w:t>
      </w:r>
    </w:p>
    <w:p w14:paraId="5865113C">
      <w:pPr>
        <w:pStyle w:val="12"/>
        <w:jc w:val="left"/>
        <w:rPr>
          <w:rFonts w:hint="eastAsia" w:ascii="宋体" w:hAnsi="宋体" w:eastAsia="宋体" w:cs="宋体"/>
        </w:rPr>
      </w:pPr>
      <w:r>
        <w:rPr>
          <w:rFonts w:hint="eastAsia" w:ascii="宋体" w:hAnsi="宋体" w:eastAsia="宋体" w:cs="宋体"/>
        </w:rPr>
        <w:t>2） 工作气压：0.4～0.6MPa</w:t>
      </w:r>
    </w:p>
    <w:p w14:paraId="38530F5A">
      <w:pPr>
        <w:pStyle w:val="12"/>
        <w:jc w:val="left"/>
        <w:rPr>
          <w:rFonts w:hint="eastAsia" w:ascii="宋体" w:hAnsi="宋体" w:eastAsia="宋体" w:cs="宋体"/>
        </w:rPr>
      </w:pPr>
      <w:r>
        <w:rPr>
          <w:rFonts w:hint="eastAsia" w:ascii="宋体" w:hAnsi="宋体" w:eastAsia="宋体" w:cs="宋体"/>
        </w:rPr>
        <w:t>3） 圆形盖子尺寸：≥40mm</w:t>
      </w:r>
    </w:p>
    <w:p w14:paraId="6580C064">
      <w:pPr>
        <w:pStyle w:val="12"/>
        <w:jc w:val="left"/>
        <w:rPr>
          <w:rFonts w:hint="eastAsia" w:ascii="宋体" w:hAnsi="宋体" w:eastAsia="宋体" w:cs="宋体"/>
        </w:rPr>
      </w:pPr>
      <w:r>
        <w:rPr>
          <w:rFonts w:hint="eastAsia" w:ascii="宋体" w:hAnsi="宋体" w:eastAsia="宋体" w:cs="宋体"/>
        </w:rPr>
        <w:t>4） 圆形盖子高度：6—10mm</w:t>
      </w:r>
    </w:p>
    <w:p w14:paraId="1761AE39">
      <w:pPr>
        <w:pStyle w:val="12"/>
        <w:jc w:val="left"/>
        <w:rPr>
          <w:rFonts w:hint="eastAsia" w:ascii="宋体" w:hAnsi="宋体" w:eastAsia="宋体" w:cs="宋体"/>
        </w:rPr>
      </w:pPr>
      <w:r>
        <w:rPr>
          <w:rFonts w:hint="eastAsia" w:ascii="宋体" w:hAnsi="宋体" w:eastAsia="宋体" w:cs="宋体"/>
        </w:rPr>
        <w:t>5) 外形尺寸：≥200×90×350mm。</w:t>
      </w:r>
    </w:p>
    <w:p w14:paraId="196577C8">
      <w:pPr>
        <w:pStyle w:val="12"/>
        <w:jc w:val="left"/>
        <w:rPr>
          <w:rFonts w:hint="eastAsia" w:ascii="宋体" w:hAnsi="宋体" w:eastAsia="宋体" w:cs="宋体"/>
        </w:rPr>
      </w:pPr>
      <w:r>
        <w:rPr>
          <w:rFonts w:hint="eastAsia" w:ascii="宋体" w:hAnsi="宋体" w:eastAsia="宋体" w:cs="宋体"/>
        </w:rPr>
        <w:t>2.3.3 自适应吸盘搬运手模块功能要求：</w:t>
      </w:r>
    </w:p>
    <w:p w14:paraId="64B0FA89">
      <w:pPr>
        <w:pStyle w:val="12"/>
        <w:jc w:val="left"/>
        <w:rPr>
          <w:rFonts w:hint="eastAsia" w:ascii="宋体" w:hAnsi="宋体" w:eastAsia="宋体" w:cs="宋体"/>
        </w:rPr>
      </w:pPr>
      <w:r>
        <w:rPr>
          <w:rFonts w:hint="eastAsia" w:ascii="宋体" w:hAnsi="宋体" w:eastAsia="宋体" w:cs="宋体"/>
        </w:rPr>
        <w:t>▲（1） 自适应吸盘搬运手模块功能要求：可以利用真空吸盘，吸取杯体、杯盖、杯芯进行搬运、组合及装配模块结构组成：多层吸盘、侧配管、双杆气缸、柱形方杆气缸、气缸支架、立柱、地脚盘、电磁阀、单相调节阀、位置传感器、真空发生器、真空传感器、减压阀、电气接口模块等组成。投标文件中需提供对应的实物图及装配爆炸图，展示装配逻辑，可遮盖专利结构，标注核心部件的通用规格，无需具体尺寸。</w:t>
      </w:r>
    </w:p>
    <w:p w14:paraId="74885386">
      <w:pPr>
        <w:pStyle w:val="12"/>
        <w:jc w:val="left"/>
        <w:rPr>
          <w:rFonts w:hint="eastAsia" w:ascii="宋体" w:hAnsi="宋体" w:eastAsia="宋体" w:cs="宋体"/>
        </w:rPr>
      </w:pPr>
      <w:r>
        <w:rPr>
          <w:rFonts w:hint="eastAsia" w:ascii="宋体" w:hAnsi="宋体" w:eastAsia="宋体" w:cs="宋体"/>
        </w:rPr>
        <w:t>（2）投标文件中需提供配套该模块中文操作手册截图，内容需包含不限于设备简介外观图、模块硬件结构组成图、工作流程、气动原理图、电气接线图、15针 IO 端子对应的颜色及说明图表等，提供相关截图证明。</w:t>
      </w:r>
    </w:p>
    <w:p w14:paraId="2CF94241">
      <w:pPr>
        <w:pStyle w:val="12"/>
        <w:jc w:val="left"/>
        <w:rPr>
          <w:rFonts w:hint="eastAsia" w:ascii="宋体" w:hAnsi="宋体" w:eastAsia="宋体" w:cs="宋体"/>
        </w:rPr>
      </w:pPr>
      <w:r>
        <w:rPr>
          <w:rFonts w:hint="eastAsia" w:ascii="宋体" w:hAnsi="宋体" w:eastAsia="宋体" w:cs="宋体"/>
        </w:rPr>
        <w:t>（3）配套该模块数字孪生模型，该模型与实际设备 1:1 建模，可以进行虚拟调试及仿真，也可通过实物模型进行数字孪生训练。该模型还可与其他模型拼装成新的自动化生产线功能，投标文件中需提供该数字模型截图和拼装后新的生产线模型截图。</w:t>
      </w:r>
    </w:p>
    <w:p w14:paraId="716F73C7">
      <w:pPr>
        <w:pStyle w:val="12"/>
        <w:jc w:val="left"/>
        <w:rPr>
          <w:rFonts w:hint="eastAsia" w:ascii="宋体" w:hAnsi="宋体" w:eastAsia="宋体" w:cs="宋体"/>
        </w:rPr>
      </w:pPr>
      <w:r>
        <w:rPr>
          <w:rFonts w:hint="eastAsia" w:ascii="宋体" w:hAnsi="宋体" w:eastAsia="宋体" w:cs="宋体"/>
        </w:rPr>
        <w:t>（4）技术数据：</w:t>
      </w:r>
    </w:p>
    <w:p w14:paraId="5BB99406">
      <w:pPr>
        <w:pStyle w:val="12"/>
        <w:jc w:val="left"/>
        <w:rPr>
          <w:rFonts w:hint="eastAsia" w:ascii="宋体" w:hAnsi="宋体" w:eastAsia="宋体" w:cs="宋体"/>
        </w:rPr>
      </w:pPr>
      <w:r>
        <w:rPr>
          <w:rFonts w:hint="eastAsia" w:ascii="宋体" w:hAnsi="宋体" w:eastAsia="宋体" w:cs="宋体"/>
        </w:rPr>
        <w:t>1） 工作电压：24VDC</w:t>
      </w:r>
    </w:p>
    <w:p w14:paraId="79709865">
      <w:pPr>
        <w:pStyle w:val="12"/>
        <w:jc w:val="left"/>
        <w:rPr>
          <w:rFonts w:hint="eastAsia" w:ascii="宋体" w:hAnsi="宋体" w:eastAsia="宋体" w:cs="宋体"/>
        </w:rPr>
      </w:pPr>
      <w:r>
        <w:rPr>
          <w:rFonts w:hint="eastAsia" w:ascii="宋体" w:hAnsi="宋体" w:eastAsia="宋体" w:cs="宋体"/>
        </w:rPr>
        <w:t>2） 工作气压：0.4～0.6MPa3) 推送距离 60mm</w:t>
      </w:r>
    </w:p>
    <w:p w14:paraId="6F93624F">
      <w:pPr>
        <w:pStyle w:val="12"/>
        <w:jc w:val="left"/>
        <w:rPr>
          <w:rFonts w:hint="eastAsia" w:ascii="宋体" w:hAnsi="宋体" w:eastAsia="宋体" w:cs="宋体"/>
        </w:rPr>
      </w:pPr>
      <w:r>
        <w:rPr>
          <w:rFonts w:hint="eastAsia" w:ascii="宋体" w:hAnsi="宋体" w:eastAsia="宋体" w:cs="宋体"/>
        </w:rPr>
        <w:t>4） 水平位移距离 120mm、</w:t>
      </w:r>
    </w:p>
    <w:p w14:paraId="042F6837">
      <w:pPr>
        <w:pStyle w:val="12"/>
        <w:jc w:val="left"/>
        <w:rPr>
          <w:rFonts w:hint="eastAsia" w:ascii="宋体" w:hAnsi="宋体" w:eastAsia="宋体" w:cs="宋体"/>
        </w:rPr>
      </w:pPr>
      <w:r>
        <w:rPr>
          <w:rFonts w:hint="eastAsia" w:ascii="宋体" w:hAnsi="宋体" w:eastAsia="宋体" w:cs="宋体"/>
        </w:rPr>
        <w:t>5） 自适应距离 25mm</w:t>
      </w:r>
    </w:p>
    <w:p w14:paraId="29BDAEAB">
      <w:pPr>
        <w:pStyle w:val="12"/>
        <w:jc w:val="left"/>
        <w:rPr>
          <w:rFonts w:hint="eastAsia" w:ascii="宋体" w:hAnsi="宋体" w:eastAsia="宋体" w:cs="宋体"/>
        </w:rPr>
      </w:pPr>
      <w:r>
        <w:rPr>
          <w:rFonts w:hint="eastAsia" w:ascii="宋体" w:hAnsi="宋体" w:eastAsia="宋体" w:cs="宋体"/>
        </w:rPr>
        <w:t>6) 外形尺寸：≥210×80×400mm</w:t>
      </w:r>
    </w:p>
    <w:p w14:paraId="6CE2A1CC">
      <w:pPr>
        <w:pStyle w:val="12"/>
        <w:jc w:val="left"/>
        <w:rPr>
          <w:rFonts w:hint="eastAsia" w:ascii="宋体" w:hAnsi="宋体" w:eastAsia="宋体" w:cs="宋体"/>
        </w:rPr>
      </w:pPr>
      <w:r>
        <w:rPr>
          <w:rFonts w:hint="eastAsia" w:ascii="宋体" w:hAnsi="宋体" w:eastAsia="宋体" w:cs="宋体"/>
        </w:rPr>
        <w:t>2.3.4 模拟量光闸检测模块功能：</w:t>
      </w:r>
    </w:p>
    <w:p w14:paraId="4D65FA7B">
      <w:pPr>
        <w:pStyle w:val="12"/>
        <w:jc w:val="left"/>
        <w:rPr>
          <w:rFonts w:hint="eastAsia" w:ascii="宋体" w:hAnsi="宋体" w:eastAsia="宋体" w:cs="宋体"/>
        </w:rPr>
      </w:pPr>
      <w:r>
        <w:rPr>
          <w:rFonts w:hint="eastAsia" w:ascii="宋体" w:hAnsi="宋体" w:eastAsia="宋体" w:cs="宋体"/>
        </w:rPr>
        <w:t>（1）模拟量光闸检测模块功能要求：以光通过量与光反射判断工件高度与工件颜色结构组成：由两组模拟光电放大器、一组对照光栅，一组扩散反射式光纤与传感器安装架所组成。安装于输送带上或工件座上。投标文件内需提供此模块的实物图片。</w:t>
      </w:r>
    </w:p>
    <w:p w14:paraId="5C4725C3">
      <w:pPr>
        <w:pStyle w:val="12"/>
        <w:jc w:val="left"/>
        <w:rPr>
          <w:rFonts w:hint="eastAsia" w:ascii="宋体" w:hAnsi="宋体" w:eastAsia="宋体" w:cs="宋体"/>
        </w:rPr>
      </w:pPr>
      <w:r>
        <w:rPr>
          <w:rFonts w:hint="eastAsia" w:ascii="宋体" w:hAnsi="宋体" w:eastAsia="宋体" w:cs="宋体"/>
        </w:rPr>
        <w:t>（2）技术数据：</w:t>
      </w:r>
    </w:p>
    <w:p w14:paraId="308084F4">
      <w:pPr>
        <w:pStyle w:val="12"/>
        <w:jc w:val="left"/>
        <w:rPr>
          <w:rFonts w:hint="eastAsia" w:ascii="宋体" w:hAnsi="宋体" w:eastAsia="宋体" w:cs="宋体"/>
        </w:rPr>
      </w:pPr>
      <w:r>
        <w:rPr>
          <w:rFonts w:hint="eastAsia" w:ascii="宋体" w:hAnsi="宋体" w:eastAsia="宋体" w:cs="宋体"/>
        </w:rPr>
        <w:t>1） 工作电压：24VDC</w:t>
      </w:r>
    </w:p>
    <w:p w14:paraId="4D7959AF">
      <w:pPr>
        <w:pStyle w:val="12"/>
        <w:jc w:val="left"/>
        <w:rPr>
          <w:rFonts w:hint="eastAsia" w:ascii="宋体" w:hAnsi="宋体" w:eastAsia="宋体" w:cs="宋体"/>
        </w:rPr>
      </w:pPr>
      <w:r>
        <w:rPr>
          <w:rFonts w:hint="eastAsia" w:ascii="宋体" w:hAnsi="宋体" w:eastAsia="宋体" w:cs="宋体"/>
        </w:rPr>
        <w:t>2） 龙门高度检测范围：0-40mm、模拟量输出：DC1~5V</w:t>
      </w:r>
    </w:p>
    <w:p w14:paraId="43726EA2">
      <w:pPr>
        <w:pStyle w:val="12"/>
        <w:jc w:val="left"/>
        <w:rPr>
          <w:rFonts w:hint="eastAsia" w:ascii="宋体" w:hAnsi="宋体" w:eastAsia="宋体" w:cs="宋体"/>
        </w:rPr>
      </w:pPr>
      <w:r>
        <w:rPr>
          <w:rFonts w:hint="eastAsia" w:ascii="宋体" w:hAnsi="宋体" w:eastAsia="宋体" w:cs="宋体"/>
        </w:rPr>
        <w:t>3） 龙门高度检测：1 路数字输出（PNP）</w:t>
      </w:r>
    </w:p>
    <w:p w14:paraId="180B1173">
      <w:pPr>
        <w:pStyle w:val="12"/>
        <w:jc w:val="left"/>
        <w:rPr>
          <w:rFonts w:hint="eastAsia" w:ascii="宋体" w:hAnsi="宋体" w:eastAsia="宋体" w:cs="宋体"/>
        </w:rPr>
      </w:pPr>
      <w:r>
        <w:rPr>
          <w:rFonts w:hint="eastAsia" w:ascii="宋体" w:hAnsi="宋体" w:eastAsia="宋体" w:cs="宋体"/>
        </w:rPr>
        <w:t>4） 颜色判断：模拟量输出：DC1~5V,DC0~10V 或 4～20mA 可通过参数配置</w:t>
      </w:r>
    </w:p>
    <w:p w14:paraId="7BA91F06">
      <w:pPr>
        <w:pStyle w:val="12"/>
        <w:jc w:val="left"/>
        <w:rPr>
          <w:rFonts w:hint="eastAsia" w:ascii="宋体" w:hAnsi="宋体" w:eastAsia="宋体" w:cs="宋体"/>
        </w:rPr>
      </w:pPr>
      <w:r>
        <w:rPr>
          <w:rFonts w:hint="eastAsia" w:ascii="宋体" w:hAnsi="宋体" w:eastAsia="宋体" w:cs="宋体"/>
        </w:rPr>
        <w:t>5） 方形/圆形工件尺寸：≥40mm</w:t>
      </w:r>
    </w:p>
    <w:p w14:paraId="22181681">
      <w:pPr>
        <w:pStyle w:val="12"/>
        <w:jc w:val="left"/>
        <w:rPr>
          <w:rFonts w:hint="eastAsia" w:ascii="宋体" w:hAnsi="宋体" w:eastAsia="宋体" w:cs="宋体"/>
        </w:rPr>
      </w:pPr>
      <w:r>
        <w:rPr>
          <w:rFonts w:hint="eastAsia" w:ascii="宋体" w:hAnsi="宋体" w:eastAsia="宋体" w:cs="宋体"/>
        </w:rPr>
        <w:t>6) 外形尺寸：≥100×35×120mm。</w:t>
      </w:r>
    </w:p>
    <w:p w14:paraId="112406F1">
      <w:pPr>
        <w:pStyle w:val="12"/>
        <w:jc w:val="left"/>
        <w:rPr>
          <w:rFonts w:hint="eastAsia" w:ascii="宋体" w:hAnsi="宋体" w:eastAsia="宋体" w:cs="宋体"/>
        </w:rPr>
      </w:pPr>
      <w:r>
        <w:rPr>
          <w:rFonts w:hint="eastAsia" w:ascii="宋体" w:hAnsi="宋体" w:eastAsia="宋体" w:cs="宋体"/>
        </w:rPr>
        <w:t>2.3.5 输送带模块功能：</w:t>
      </w:r>
    </w:p>
    <w:p w14:paraId="2E2B083E">
      <w:pPr>
        <w:pStyle w:val="12"/>
        <w:jc w:val="left"/>
        <w:rPr>
          <w:rFonts w:hint="eastAsia" w:ascii="宋体" w:hAnsi="宋体" w:eastAsia="宋体" w:cs="宋体"/>
        </w:rPr>
      </w:pPr>
      <w:r>
        <w:rPr>
          <w:rFonts w:hint="eastAsia" w:ascii="宋体" w:hAnsi="宋体" w:eastAsia="宋体" w:cs="宋体"/>
        </w:rPr>
        <w:t>（1）输送带模块功能：可以实现工件的双向传送。模块结构组成：由直流减速电机、涨紧调节机构，纠偏调节机构、带轮，输送皮带、型材机体，挡边、可调支架，电机控制器（含 2 路电磁铁驱动）、光纤传感器、电气接口模块等组成。投标文件中需提供对应的实物图及装配爆炸图，展示装配逻辑，可遮盖专利结构，标注核心部件的通用规格，无需具体尺寸。</w:t>
      </w:r>
    </w:p>
    <w:p w14:paraId="43E8114F">
      <w:pPr>
        <w:pStyle w:val="12"/>
        <w:jc w:val="left"/>
        <w:rPr>
          <w:rFonts w:hint="eastAsia" w:ascii="宋体" w:hAnsi="宋体" w:eastAsia="宋体" w:cs="宋体"/>
        </w:rPr>
      </w:pPr>
      <w:r>
        <w:rPr>
          <w:rFonts w:hint="eastAsia" w:ascii="宋体" w:hAnsi="宋体" w:eastAsia="宋体" w:cs="宋体"/>
        </w:rPr>
        <w:t>（2）技术数据：</w:t>
      </w:r>
    </w:p>
    <w:p w14:paraId="38ECD4EC">
      <w:pPr>
        <w:pStyle w:val="12"/>
        <w:jc w:val="left"/>
        <w:rPr>
          <w:rFonts w:hint="eastAsia" w:ascii="宋体" w:hAnsi="宋体" w:eastAsia="宋体" w:cs="宋体"/>
        </w:rPr>
      </w:pPr>
      <w:r>
        <w:rPr>
          <w:rFonts w:hint="eastAsia" w:ascii="宋体" w:hAnsi="宋体" w:eastAsia="宋体" w:cs="宋体"/>
        </w:rPr>
        <w:t>1） 工作电压：24VDC</w:t>
      </w:r>
    </w:p>
    <w:p w14:paraId="70B137AD">
      <w:pPr>
        <w:pStyle w:val="12"/>
        <w:jc w:val="left"/>
        <w:rPr>
          <w:rFonts w:hint="eastAsia" w:ascii="宋体" w:hAnsi="宋体" w:eastAsia="宋体" w:cs="宋体"/>
        </w:rPr>
      </w:pPr>
      <w:r>
        <w:rPr>
          <w:rFonts w:hint="eastAsia" w:ascii="宋体" w:hAnsi="宋体" w:eastAsia="宋体" w:cs="宋体"/>
        </w:rPr>
        <w:t>2） 最大工件宽度：≥40mm</w:t>
      </w:r>
    </w:p>
    <w:p w14:paraId="59B1CECC">
      <w:pPr>
        <w:pStyle w:val="12"/>
        <w:jc w:val="left"/>
        <w:rPr>
          <w:rFonts w:hint="eastAsia" w:ascii="宋体" w:hAnsi="宋体" w:eastAsia="宋体" w:cs="宋体"/>
        </w:rPr>
      </w:pPr>
      <w:r>
        <w:rPr>
          <w:rFonts w:hint="eastAsia" w:ascii="宋体" w:hAnsi="宋体" w:eastAsia="宋体" w:cs="宋体"/>
        </w:rPr>
        <w:t>3） 有效行程：≥340mm。</w:t>
      </w:r>
    </w:p>
    <w:p w14:paraId="15575821">
      <w:pPr>
        <w:pStyle w:val="12"/>
        <w:jc w:val="left"/>
        <w:rPr>
          <w:rFonts w:hint="eastAsia" w:ascii="宋体" w:hAnsi="宋体" w:eastAsia="宋体" w:cs="宋体"/>
        </w:rPr>
      </w:pPr>
      <w:r>
        <w:rPr>
          <w:rFonts w:hint="eastAsia" w:ascii="宋体" w:hAnsi="宋体" w:eastAsia="宋体" w:cs="宋体"/>
        </w:rPr>
        <w:t>4） 额定速度：≥3.6m/min</w:t>
      </w:r>
    </w:p>
    <w:p w14:paraId="52DCB2AB">
      <w:pPr>
        <w:pStyle w:val="12"/>
        <w:jc w:val="left"/>
        <w:rPr>
          <w:rFonts w:hint="eastAsia" w:ascii="宋体" w:hAnsi="宋体" w:eastAsia="宋体" w:cs="宋体"/>
        </w:rPr>
      </w:pPr>
      <w:r>
        <w:rPr>
          <w:rFonts w:hint="eastAsia" w:ascii="宋体" w:hAnsi="宋体" w:eastAsia="宋体" w:cs="宋体"/>
        </w:rPr>
        <w:t>5） DP15 母头（三排）接口</w:t>
      </w:r>
    </w:p>
    <w:p w14:paraId="77BF2B4D">
      <w:pPr>
        <w:pStyle w:val="12"/>
        <w:jc w:val="left"/>
        <w:rPr>
          <w:rFonts w:hint="eastAsia" w:ascii="宋体" w:hAnsi="宋体" w:eastAsia="宋体" w:cs="宋体"/>
        </w:rPr>
      </w:pPr>
      <w:r>
        <w:rPr>
          <w:rFonts w:hint="eastAsia" w:ascii="宋体" w:hAnsi="宋体" w:eastAsia="宋体" w:cs="宋体"/>
        </w:rPr>
        <w:t>6） 直流电机控制器（含 2 路电磁铁驱动）</w:t>
      </w:r>
    </w:p>
    <w:p w14:paraId="7BED195D">
      <w:pPr>
        <w:pStyle w:val="12"/>
        <w:jc w:val="left"/>
        <w:rPr>
          <w:rFonts w:hint="eastAsia" w:ascii="宋体" w:hAnsi="宋体" w:eastAsia="宋体" w:cs="宋体"/>
        </w:rPr>
      </w:pPr>
      <w:r>
        <w:rPr>
          <w:rFonts w:hint="eastAsia" w:ascii="宋体" w:hAnsi="宋体" w:eastAsia="宋体" w:cs="宋体"/>
        </w:rPr>
        <w:t>7) 外形尺寸：≥350×60×120mm</w:t>
      </w:r>
    </w:p>
    <w:p w14:paraId="51F2F04E">
      <w:pPr>
        <w:pStyle w:val="12"/>
        <w:jc w:val="left"/>
        <w:rPr>
          <w:rFonts w:hint="eastAsia" w:ascii="宋体" w:hAnsi="宋体" w:eastAsia="宋体" w:cs="宋体"/>
        </w:rPr>
      </w:pPr>
      <w:r>
        <w:rPr>
          <w:rFonts w:hint="eastAsia" w:ascii="宋体" w:hAnsi="宋体" w:eastAsia="宋体" w:cs="宋体"/>
        </w:rPr>
        <w:t>（3）投标文件中需提供配套该模块中文操作手册截图，内容需包含不限于设备简介外观图、模块硬件结构组成图、工作流程、气动原理图、电气接线图、15针 IO 端子对应的颜色及说明图表等，提供相关截图证明。</w:t>
      </w:r>
    </w:p>
    <w:p w14:paraId="6FF9D359">
      <w:pPr>
        <w:pStyle w:val="12"/>
        <w:jc w:val="left"/>
        <w:rPr>
          <w:rFonts w:hint="eastAsia" w:ascii="宋体" w:hAnsi="宋体" w:eastAsia="宋体" w:cs="宋体"/>
        </w:rPr>
      </w:pPr>
      <w:r>
        <w:rPr>
          <w:rFonts w:hint="eastAsia" w:ascii="宋体" w:hAnsi="宋体" w:eastAsia="宋体" w:cs="宋体"/>
        </w:rPr>
        <w:t>（4）配套该模块数字孪生模型，该模型与实际设备 1:1 建模，可以进行虚拟调试及仿真，也可通过实物模型进行数字孪生训练。该模型还可与其他模型拼装成新的自动化生产线功能，投标文件中需提供该数字模型截图和拼装后新的生产线模型截图。</w:t>
      </w:r>
    </w:p>
    <w:p w14:paraId="5E2DF691">
      <w:pPr>
        <w:pStyle w:val="12"/>
        <w:jc w:val="left"/>
        <w:rPr>
          <w:rFonts w:hint="eastAsia" w:ascii="宋体" w:hAnsi="宋体" w:eastAsia="宋体" w:cs="宋体"/>
        </w:rPr>
      </w:pPr>
      <w:r>
        <w:rPr>
          <w:rFonts w:hint="eastAsia" w:ascii="宋体" w:hAnsi="宋体" w:eastAsia="宋体" w:cs="宋体"/>
        </w:rPr>
        <w:t>2.3.6 控制模块箱体：</w:t>
      </w:r>
    </w:p>
    <w:p w14:paraId="2458EE9F">
      <w:pPr>
        <w:pStyle w:val="12"/>
        <w:jc w:val="left"/>
        <w:rPr>
          <w:rFonts w:hint="eastAsia" w:ascii="宋体" w:hAnsi="宋体" w:eastAsia="宋体" w:cs="宋体"/>
        </w:rPr>
      </w:pPr>
      <w:r>
        <w:rPr>
          <w:rFonts w:hint="eastAsia" w:ascii="宋体" w:hAnsi="宋体" w:eastAsia="宋体" w:cs="宋体"/>
        </w:rPr>
        <w:t>（1）2 个 24V4mm 安全插座，2 个 0V4mm 安全插座，1 个接地 4 毫米安全插座。</w:t>
      </w:r>
    </w:p>
    <w:p w14:paraId="02C70A5B">
      <w:pPr>
        <w:pStyle w:val="12"/>
        <w:jc w:val="left"/>
        <w:rPr>
          <w:rFonts w:hint="eastAsia" w:ascii="宋体" w:hAnsi="宋体" w:eastAsia="宋体" w:cs="宋体"/>
        </w:rPr>
      </w:pPr>
      <w:r>
        <w:rPr>
          <w:rFonts w:hint="eastAsia" w:ascii="宋体" w:hAnsi="宋体" w:eastAsia="宋体" w:cs="宋体"/>
        </w:rPr>
        <w:t>（2）工作存储 250KB/1MB；本体带 ≥32 路数字量输入，≥32 路数字量输出，≥5 路模拟量输入，≥2 路模拟量输出。其中带 6 路计数器，最大输入频率100KHz ·1 个 MMC存储卡，≥24MB;1根以太网电缆， ≥6 米；1 根导轨≥482mm;</w:t>
      </w:r>
    </w:p>
    <w:p w14:paraId="28E4E834">
      <w:pPr>
        <w:pStyle w:val="12"/>
        <w:jc w:val="left"/>
        <w:rPr>
          <w:rFonts w:hint="eastAsia" w:ascii="宋体" w:hAnsi="宋体" w:eastAsia="宋体" w:cs="宋体"/>
        </w:rPr>
      </w:pPr>
      <w:r>
        <w:rPr>
          <w:rFonts w:hint="eastAsia" w:ascii="宋体" w:hAnsi="宋体" w:eastAsia="宋体" w:cs="宋体"/>
        </w:rPr>
        <w:t>（3）集成 2xPN 端口；</w:t>
      </w:r>
    </w:p>
    <w:p w14:paraId="70ACCDA2">
      <w:pPr>
        <w:pStyle w:val="12"/>
        <w:jc w:val="left"/>
        <w:rPr>
          <w:rFonts w:hint="eastAsia" w:ascii="宋体" w:hAnsi="宋体" w:eastAsia="宋体" w:cs="宋体"/>
        </w:rPr>
      </w:pPr>
      <w:r>
        <w:rPr>
          <w:rFonts w:hint="eastAsia" w:ascii="宋体" w:hAnsi="宋体" w:eastAsia="宋体" w:cs="宋体"/>
        </w:rPr>
        <w:t>（4）Syslink 连接线 2 根</w:t>
      </w:r>
    </w:p>
    <w:p w14:paraId="3059C048">
      <w:pPr>
        <w:pStyle w:val="12"/>
        <w:jc w:val="left"/>
        <w:rPr>
          <w:rFonts w:hint="eastAsia" w:ascii="宋体" w:hAnsi="宋体" w:eastAsia="宋体" w:cs="宋体"/>
        </w:rPr>
      </w:pPr>
      <w:r>
        <w:rPr>
          <w:rFonts w:hint="eastAsia" w:ascii="宋体" w:hAnsi="宋体" w:eastAsia="宋体" w:cs="宋体"/>
        </w:rPr>
        <w:t>（5）配套正版网线≥ 6m</w:t>
      </w:r>
    </w:p>
    <w:p w14:paraId="7E324A84">
      <w:pPr>
        <w:pStyle w:val="12"/>
        <w:jc w:val="left"/>
        <w:rPr>
          <w:rFonts w:hint="eastAsia" w:ascii="宋体" w:hAnsi="宋体" w:eastAsia="宋体" w:cs="宋体"/>
        </w:rPr>
      </w:pPr>
      <w:r>
        <w:rPr>
          <w:rFonts w:hint="eastAsia" w:ascii="宋体" w:hAnsi="宋体" w:eastAsia="宋体" w:cs="宋体"/>
        </w:rPr>
        <w:t>（6）要求配套正版编程软件</w:t>
      </w:r>
    </w:p>
    <w:p w14:paraId="2920A262">
      <w:pPr>
        <w:pStyle w:val="12"/>
        <w:jc w:val="left"/>
        <w:rPr>
          <w:rFonts w:hint="eastAsia" w:ascii="宋体" w:hAnsi="宋体" w:eastAsia="宋体" w:cs="宋体"/>
        </w:rPr>
      </w:pPr>
      <w:r>
        <w:rPr>
          <w:rFonts w:hint="eastAsia" w:ascii="宋体" w:hAnsi="宋体" w:eastAsia="宋体" w:cs="宋体"/>
        </w:rPr>
        <w:t xml:space="preserve">2.3.7 Mini 控制面板 </w:t>
      </w:r>
    </w:p>
    <w:p w14:paraId="64025534">
      <w:pPr>
        <w:pStyle w:val="12"/>
        <w:jc w:val="left"/>
        <w:rPr>
          <w:rFonts w:hint="eastAsia" w:ascii="宋体" w:hAnsi="宋体" w:eastAsia="宋体" w:cs="宋体"/>
        </w:rPr>
      </w:pPr>
      <w:r>
        <w:rPr>
          <w:rFonts w:hint="eastAsia" w:ascii="宋体" w:hAnsi="宋体" w:eastAsia="宋体" w:cs="宋体"/>
        </w:rPr>
        <w:t xml:space="preserve">控制面板接口控制器要求包含按钮、开关、信号灯、未使用的输入口和未使用的输出口的信号接口。至少包含以下功能： </w:t>
      </w:r>
    </w:p>
    <w:p w14:paraId="488B904B">
      <w:pPr>
        <w:pStyle w:val="12"/>
        <w:jc w:val="left"/>
        <w:rPr>
          <w:rFonts w:hint="eastAsia" w:ascii="宋体" w:hAnsi="宋体" w:eastAsia="宋体" w:cs="宋体"/>
        </w:rPr>
      </w:pPr>
      <w:r>
        <w:rPr>
          <w:rFonts w:hint="eastAsia" w:ascii="宋体" w:hAnsi="宋体" w:eastAsia="宋体" w:cs="宋体"/>
        </w:rPr>
        <w:t xml:space="preserve">•按钮（开关）： </w:t>
      </w:r>
    </w:p>
    <w:p w14:paraId="2D2B765F">
      <w:pPr>
        <w:pStyle w:val="12"/>
        <w:jc w:val="left"/>
        <w:rPr>
          <w:rFonts w:hint="eastAsia" w:ascii="宋体" w:hAnsi="宋体" w:eastAsia="宋体" w:cs="宋体"/>
        </w:rPr>
      </w:pPr>
      <w:r>
        <w:rPr>
          <w:rFonts w:hint="eastAsia" w:ascii="宋体" w:hAnsi="宋体" w:eastAsia="宋体" w:cs="宋体"/>
        </w:rPr>
        <w:t xml:space="preserve">•启动（常开） </w:t>
      </w:r>
    </w:p>
    <w:p w14:paraId="7768EE47">
      <w:pPr>
        <w:pStyle w:val="12"/>
        <w:jc w:val="left"/>
        <w:rPr>
          <w:rFonts w:hint="eastAsia" w:ascii="宋体" w:hAnsi="宋体" w:eastAsia="宋体" w:cs="宋体"/>
        </w:rPr>
      </w:pPr>
      <w:r>
        <w:rPr>
          <w:rFonts w:hint="eastAsia" w:ascii="宋体" w:hAnsi="宋体" w:eastAsia="宋体" w:cs="宋体"/>
        </w:rPr>
        <w:t xml:space="preserve">•停止（常闭） </w:t>
      </w:r>
    </w:p>
    <w:p w14:paraId="0F8A1CD9">
      <w:pPr>
        <w:pStyle w:val="12"/>
        <w:jc w:val="left"/>
        <w:rPr>
          <w:rFonts w:hint="eastAsia" w:ascii="宋体" w:hAnsi="宋体" w:eastAsia="宋体" w:cs="宋体"/>
        </w:rPr>
      </w:pPr>
      <w:r>
        <w:rPr>
          <w:rFonts w:hint="eastAsia" w:ascii="宋体" w:hAnsi="宋体" w:eastAsia="宋体" w:cs="宋体"/>
        </w:rPr>
        <w:t xml:space="preserve">•复位（常开） </w:t>
      </w:r>
    </w:p>
    <w:p w14:paraId="40815878">
      <w:pPr>
        <w:pStyle w:val="12"/>
        <w:jc w:val="left"/>
        <w:rPr>
          <w:rFonts w:hint="eastAsia" w:ascii="宋体" w:hAnsi="宋体" w:eastAsia="宋体" w:cs="宋体"/>
        </w:rPr>
      </w:pPr>
      <w:r>
        <w:rPr>
          <w:rFonts w:hint="eastAsia" w:ascii="宋体" w:hAnsi="宋体" w:eastAsia="宋体" w:cs="宋体"/>
        </w:rPr>
        <w:t xml:space="preserve">•自动/手动（常开） </w:t>
      </w:r>
    </w:p>
    <w:p w14:paraId="3D2BD0CE">
      <w:pPr>
        <w:pStyle w:val="12"/>
        <w:jc w:val="left"/>
        <w:rPr>
          <w:rFonts w:hint="eastAsia" w:ascii="宋体" w:hAnsi="宋体" w:eastAsia="宋体" w:cs="宋体"/>
        </w:rPr>
      </w:pPr>
      <w:r>
        <w:rPr>
          <w:rFonts w:hint="eastAsia" w:ascii="宋体" w:hAnsi="宋体" w:eastAsia="宋体" w:cs="宋体"/>
        </w:rPr>
        <w:t xml:space="preserve">•LED 灯： 启动 LED 复位 LED </w:t>
      </w:r>
    </w:p>
    <w:p w14:paraId="54F6472D">
      <w:pPr>
        <w:pStyle w:val="12"/>
        <w:jc w:val="left"/>
        <w:rPr>
          <w:rFonts w:hint="eastAsia" w:ascii="宋体" w:hAnsi="宋体" w:eastAsia="宋体" w:cs="宋体"/>
        </w:rPr>
      </w:pPr>
      <w:r>
        <w:rPr>
          <w:rFonts w:hint="eastAsia" w:ascii="宋体" w:hAnsi="宋体" w:eastAsia="宋体" w:cs="宋体"/>
        </w:rPr>
        <w:t xml:space="preserve">2.3.8 仿真盒 </w:t>
      </w:r>
    </w:p>
    <w:p w14:paraId="0715691C">
      <w:pPr>
        <w:pStyle w:val="12"/>
        <w:jc w:val="left"/>
        <w:rPr>
          <w:rFonts w:hint="eastAsia" w:ascii="宋体" w:hAnsi="宋体" w:eastAsia="宋体" w:cs="宋体"/>
        </w:rPr>
      </w:pPr>
      <w:r>
        <w:rPr>
          <w:rFonts w:hint="eastAsia" w:ascii="宋体" w:hAnsi="宋体" w:eastAsia="宋体" w:cs="宋体"/>
        </w:rPr>
        <w:t xml:space="preserve">1） 铝制外壳； </w:t>
      </w:r>
    </w:p>
    <w:p w14:paraId="5B6E0FE4">
      <w:pPr>
        <w:pStyle w:val="12"/>
        <w:jc w:val="left"/>
        <w:rPr>
          <w:rFonts w:hint="eastAsia" w:ascii="宋体" w:hAnsi="宋体" w:eastAsia="宋体" w:cs="宋体"/>
        </w:rPr>
      </w:pPr>
      <w:r>
        <w:rPr>
          <w:rFonts w:hint="eastAsia" w:ascii="宋体" w:hAnsi="宋体" w:eastAsia="宋体" w:cs="宋体"/>
        </w:rPr>
        <w:t xml:space="preserve">2） ≥ 8 路开关量输入、≥ 8 路开关量输出，≥ 2 路模拟量输入、≥ 2 路模拟量输出； </w:t>
      </w:r>
    </w:p>
    <w:p w14:paraId="28648AED">
      <w:pPr>
        <w:pStyle w:val="12"/>
        <w:jc w:val="left"/>
        <w:rPr>
          <w:rFonts w:hint="eastAsia" w:ascii="宋体" w:hAnsi="宋体" w:eastAsia="宋体" w:cs="宋体"/>
        </w:rPr>
      </w:pPr>
      <w:r>
        <w:rPr>
          <w:rFonts w:hint="eastAsia" w:ascii="宋体" w:hAnsi="宋体" w:eastAsia="宋体" w:cs="宋体"/>
        </w:rPr>
        <w:t xml:space="preserve">3） 8 路连续脉冲（1Hz—20KHz），分辨率 1Hz，支持 10、100、1K 快速调节； </w:t>
      </w:r>
    </w:p>
    <w:p w14:paraId="34326B8F">
      <w:pPr>
        <w:pStyle w:val="12"/>
        <w:jc w:val="left"/>
        <w:rPr>
          <w:rFonts w:hint="eastAsia" w:ascii="宋体" w:hAnsi="宋体" w:eastAsia="宋体" w:cs="宋体"/>
        </w:rPr>
      </w:pPr>
      <w:r>
        <w:rPr>
          <w:rFonts w:hint="eastAsia" w:ascii="宋体" w:hAnsi="宋体" w:eastAsia="宋体" w:cs="宋体"/>
        </w:rPr>
        <w:t xml:space="preserve">4） I0 和脉冲输出带 LED 显示； </w:t>
      </w:r>
    </w:p>
    <w:p w14:paraId="0D550F0A">
      <w:pPr>
        <w:pStyle w:val="12"/>
        <w:jc w:val="left"/>
        <w:rPr>
          <w:rFonts w:hint="eastAsia" w:ascii="宋体" w:hAnsi="宋体" w:eastAsia="宋体" w:cs="宋体"/>
        </w:rPr>
      </w:pPr>
      <w:r>
        <w:rPr>
          <w:rFonts w:hint="eastAsia" w:ascii="宋体" w:hAnsi="宋体" w:eastAsia="宋体" w:cs="宋体"/>
        </w:rPr>
        <w:t xml:space="preserve">5) LCD 显示； </w:t>
      </w:r>
    </w:p>
    <w:p w14:paraId="132EAE0E">
      <w:pPr>
        <w:pStyle w:val="12"/>
        <w:jc w:val="left"/>
        <w:rPr>
          <w:rFonts w:hint="eastAsia" w:ascii="宋体" w:hAnsi="宋体" w:eastAsia="宋体" w:cs="宋体"/>
        </w:rPr>
      </w:pPr>
      <w:r>
        <w:rPr>
          <w:rFonts w:hint="eastAsia" w:ascii="宋体" w:hAnsi="宋体" w:eastAsia="宋体" w:cs="宋体"/>
        </w:rPr>
        <w:t xml:space="preserve">6） 配套电源线、开关量反交电缆、模拟量反交电缆 </w:t>
      </w:r>
    </w:p>
    <w:p w14:paraId="00D80424">
      <w:pPr>
        <w:pStyle w:val="12"/>
        <w:jc w:val="left"/>
        <w:rPr>
          <w:rFonts w:hint="eastAsia" w:ascii="宋体" w:hAnsi="宋体" w:eastAsia="宋体" w:cs="宋体"/>
        </w:rPr>
      </w:pPr>
      <w:r>
        <w:rPr>
          <w:rFonts w:hint="eastAsia" w:ascii="宋体" w:hAnsi="宋体" w:eastAsia="宋体" w:cs="宋体"/>
        </w:rPr>
        <w:t xml:space="preserve">7） 要求提供该模块的配套中文使用说明书。 </w:t>
      </w:r>
    </w:p>
    <w:p w14:paraId="7A237D44">
      <w:pPr>
        <w:pStyle w:val="12"/>
        <w:jc w:val="left"/>
        <w:rPr>
          <w:rFonts w:hint="eastAsia" w:ascii="宋体" w:hAnsi="宋体" w:eastAsia="宋体" w:cs="宋体"/>
        </w:rPr>
      </w:pPr>
      <w:r>
        <w:rPr>
          <w:rFonts w:hint="eastAsia" w:ascii="宋体" w:hAnsi="宋体" w:eastAsia="宋体" w:cs="宋体"/>
        </w:rPr>
        <w:t xml:space="preserve">2.3.9 系统移动平台 </w:t>
      </w:r>
    </w:p>
    <w:p w14:paraId="3E898FA4">
      <w:pPr>
        <w:pStyle w:val="12"/>
        <w:jc w:val="left"/>
        <w:rPr>
          <w:rFonts w:hint="eastAsia" w:ascii="宋体" w:hAnsi="宋体" w:eastAsia="宋体" w:cs="宋体"/>
        </w:rPr>
      </w:pPr>
      <w:r>
        <w:rPr>
          <w:rFonts w:hint="eastAsia" w:ascii="宋体" w:hAnsi="宋体" w:eastAsia="宋体" w:cs="宋体"/>
        </w:rPr>
        <w:t xml:space="preserve">（1）要求结构紧凑、可移动。侧面和背面相应的通孔用于有序的电缆布置。车底带万向带刹车脚轮，脚轮间无干涉；底车内设调平地脚。 </w:t>
      </w:r>
    </w:p>
    <w:p w14:paraId="3E586836">
      <w:pPr>
        <w:pStyle w:val="12"/>
        <w:jc w:val="left"/>
        <w:rPr>
          <w:rFonts w:hint="eastAsia" w:ascii="宋体" w:hAnsi="宋体" w:eastAsia="宋体" w:cs="宋体"/>
        </w:rPr>
      </w:pPr>
      <w:r>
        <w:rPr>
          <w:rFonts w:hint="eastAsia" w:ascii="宋体" w:hAnsi="宋体" w:eastAsia="宋体" w:cs="宋体"/>
        </w:rPr>
        <w:t xml:space="preserve">（2）尺寸：高≤750mm；宽≤350mm；深≤700mm </w:t>
      </w:r>
    </w:p>
    <w:p w14:paraId="60A2AD17">
      <w:pPr>
        <w:pStyle w:val="12"/>
        <w:jc w:val="left"/>
        <w:rPr>
          <w:rFonts w:hint="eastAsia" w:ascii="宋体" w:hAnsi="宋体" w:eastAsia="宋体" w:cs="宋体"/>
        </w:rPr>
      </w:pPr>
      <w:r>
        <w:rPr>
          <w:rFonts w:hint="eastAsia" w:ascii="宋体" w:hAnsi="宋体" w:eastAsia="宋体" w:cs="宋体"/>
        </w:rPr>
        <w:t xml:space="preserve">（3）配套型材安装板技术要求：a）材质：铝合金面板、8-10μ阳极本色氧化喷砂处理 </w:t>
      </w:r>
    </w:p>
    <w:p w14:paraId="5BD74483">
      <w:pPr>
        <w:pStyle w:val="12"/>
        <w:jc w:val="left"/>
        <w:rPr>
          <w:rFonts w:hint="eastAsia" w:ascii="宋体" w:hAnsi="宋体" w:eastAsia="宋体" w:cs="宋体"/>
        </w:rPr>
      </w:pPr>
      <w:r>
        <w:rPr>
          <w:rFonts w:hint="eastAsia" w:ascii="宋体" w:hAnsi="宋体" w:eastAsia="宋体" w:cs="宋体"/>
        </w:rPr>
        <w:t xml:space="preserve">b）厚度：≥32mm </w:t>
      </w:r>
    </w:p>
    <w:p w14:paraId="6C6C4AC6">
      <w:pPr>
        <w:pStyle w:val="12"/>
        <w:jc w:val="left"/>
        <w:rPr>
          <w:rFonts w:hint="eastAsia" w:ascii="宋体" w:hAnsi="宋体" w:eastAsia="宋体" w:cs="宋体"/>
        </w:rPr>
      </w:pPr>
      <w:r>
        <w:rPr>
          <w:rFonts w:hint="eastAsia" w:ascii="宋体" w:hAnsi="宋体" w:eastAsia="宋体" w:cs="宋体"/>
        </w:rPr>
        <w:t>c）铝板外观参考尺寸：700mm*700mm</w:t>
      </w:r>
    </w:p>
    <w:p w14:paraId="117D916F">
      <w:pPr>
        <w:pStyle w:val="12"/>
        <w:jc w:val="left"/>
        <w:rPr>
          <w:rFonts w:hint="eastAsia" w:ascii="宋体" w:hAnsi="宋体" w:eastAsia="宋体" w:cs="宋体"/>
        </w:rPr>
      </w:pPr>
      <w:r>
        <w:rPr>
          <w:rFonts w:hint="eastAsia" w:ascii="宋体" w:hAnsi="宋体" w:eastAsia="宋体" w:cs="宋体"/>
        </w:rPr>
        <w:t>▲（4）提供满足以上功能结构要求的产品图纸设计图并加盖投标人公章。</w:t>
      </w:r>
    </w:p>
    <w:p w14:paraId="6A9FE149">
      <w:pPr>
        <w:pStyle w:val="12"/>
        <w:jc w:val="left"/>
        <w:rPr>
          <w:rFonts w:hint="eastAsia" w:ascii="宋体" w:hAnsi="宋体" w:eastAsia="宋体" w:cs="宋体"/>
        </w:rPr>
      </w:pPr>
      <w:r>
        <w:rPr>
          <w:rFonts w:hint="eastAsia" w:ascii="宋体" w:hAnsi="宋体" w:eastAsia="宋体" w:cs="宋体"/>
        </w:rPr>
        <w:t>2.3.10 触摸屏</w:t>
      </w:r>
    </w:p>
    <w:p w14:paraId="12928DF5">
      <w:pPr>
        <w:pStyle w:val="12"/>
        <w:jc w:val="left"/>
        <w:rPr>
          <w:rFonts w:hint="eastAsia" w:ascii="宋体" w:hAnsi="宋体" w:eastAsia="宋体" w:cs="宋体"/>
        </w:rPr>
      </w:pPr>
      <w:r>
        <w:rPr>
          <w:rFonts w:hint="eastAsia" w:ascii="宋体" w:hAnsi="宋体" w:eastAsia="宋体" w:cs="宋体"/>
        </w:rPr>
        <w:t>（1）显示器尺寸：≥7（寸）;</w:t>
      </w:r>
    </w:p>
    <w:p w14:paraId="1B5C9AB7">
      <w:pPr>
        <w:pStyle w:val="12"/>
        <w:jc w:val="left"/>
        <w:rPr>
          <w:rFonts w:hint="eastAsia" w:ascii="宋体" w:hAnsi="宋体" w:eastAsia="宋体" w:cs="宋体"/>
        </w:rPr>
      </w:pPr>
      <w:r>
        <w:rPr>
          <w:rFonts w:hint="eastAsia" w:ascii="宋体" w:hAnsi="宋体" w:eastAsia="宋体" w:cs="宋体"/>
        </w:rPr>
        <w:t>（2）分辨率：≥800*480;</w:t>
      </w:r>
    </w:p>
    <w:p w14:paraId="4AA8267C">
      <w:pPr>
        <w:pStyle w:val="12"/>
        <w:jc w:val="left"/>
        <w:rPr>
          <w:rFonts w:hint="eastAsia" w:ascii="宋体" w:hAnsi="宋体" w:eastAsia="宋体" w:cs="宋体"/>
        </w:rPr>
      </w:pPr>
      <w:r>
        <w:rPr>
          <w:rFonts w:hint="eastAsia" w:ascii="宋体" w:hAnsi="宋体" w:eastAsia="宋体" w:cs="宋体"/>
        </w:rPr>
        <w:t>（3）额定操作电压：DC24V;</w:t>
      </w:r>
    </w:p>
    <w:p w14:paraId="2FD9523E">
      <w:pPr>
        <w:pStyle w:val="12"/>
        <w:jc w:val="left"/>
        <w:rPr>
          <w:rFonts w:hint="eastAsia" w:ascii="宋体" w:hAnsi="宋体" w:eastAsia="宋体" w:cs="宋体"/>
        </w:rPr>
      </w:pPr>
      <w:r>
        <w:rPr>
          <w:rFonts w:hint="eastAsia" w:ascii="宋体" w:hAnsi="宋体" w:eastAsia="宋体" w:cs="宋体"/>
        </w:rPr>
        <w:t>（4）TFT（彩色）显示屏，支持多点触摸；</w:t>
      </w:r>
    </w:p>
    <w:p w14:paraId="3F34DD47">
      <w:pPr>
        <w:pStyle w:val="12"/>
        <w:jc w:val="left"/>
        <w:rPr>
          <w:rFonts w:hint="eastAsia" w:ascii="宋体" w:hAnsi="宋体" w:eastAsia="宋体" w:cs="宋体"/>
        </w:rPr>
      </w:pPr>
      <w:r>
        <w:rPr>
          <w:rFonts w:hint="eastAsia" w:ascii="宋体" w:hAnsi="宋体" w:eastAsia="宋体" w:cs="宋体"/>
        </w:rPr>
        <w:t>（5）支持网络通讯 PROFINET 环境的 HMI 基本功能，包含支架；</w:t>
      </w:r>
    </w:p>
    <w:p w14:paraId="2B43A0FE">
      <w:pPr>
        <w:pStyle w:val="12"/>
        <w:jc w:val="left"/>
        <w:rPr>
          <w:rFonts w:hint="eastAsia" w:ascii="宋体" w:hAnsi="宋体" w:eastAsia="宋体" w:cs="宋体"/>
        </w:rPr>
      </w:pPr>
      <w:r>
        <w:rPr>
          <w:rFonts w:hint="eastAsia" w:ascii="宋体" w:hAnsi="宋体" w:eastAsia="宋体" w:cs="宋体"/>
        </w:rPr>
        <w:t>2.3.11 加工工件</w:t>
      </w:r>
    </w:p>
    <w:p w14:paraId="376ACD6C">
      <w:pPr>
        <w:pStyle w:val="12"/>
        <w:jc w:val="left"/>
        <w:rPr>
          <w:rFonts w:hint="eastAsia" w:ascii="宋体" w:hAnsi="宋体" w:eastAsia="宋体" w:cs="宋体"/>
        </w:rPr>
      </w:pPr>
      <w:r>
        <w:rPr>
          <w:rFonts w:hint="eastAsia" w:ascii="宋体" w:hAnsi="宋体" w:eastAsia="宋体" w:cs="宋体"/>
        </w:rPr>
        <w:t>≥6 个黑色外壳</w:t>
      </w:r>
    </w:p>
    <w:p w14:paraId="17578BBE">
      <w:pPr>
        <w:pStyle w:val="12"/>
        <w:jc w:val="left"/>
        <w:rPr>
          <w:rFonts w:hint="eastAsia" w:ascii="宋体" w:hAnsi="宋体" w:eastAsia="宋体" w:cs="宋体"/>
        </w:rPr>
      </w:pPr>
      <w:r>
        <w:rPr>
          <w:rFonts w:hint="eastAsia" w:ascii="宋体" w:hAnsi="宋体" w:eastAsia="宋体" w:cs="宋体"/>
        </w:rPr>
        <w:t>≥6 个红色外壳</w:t>
      </w:r>
    </w:p>
    <w:p w14:paraId="1498B3E5">
      <w:pPr>
        <w:pStyle w:val="12"/>
        <w:jc w:val="left"/>
        <w:rPr>
          <w:rFonts w:hint="eastAsia" w:ascii="宋体" w:hAnsi="宋体" w:eastAsia="宋体" w:cs="宋体"/>
        </w:rPr>
      </w:pPr>
      <w:r>
        <w:rPr>
          <w:rFonts w:hint="eastAsia" w:ascii="宋体" w:hAnsi="宋体" w:eastAsia="宋体" w:cs="宋体"/>
        </w:rPr>
        <w:t>≥6 个银色外壳</w:t>
      </w:r>
    </w:p>
    <w:p w14:paraId="413A10B0">
      <w:pPr>
        <w:pStyle w:val="12"/>
        <w:jc w:val="left"/>
        <w:rPr>
          <w:rFonts w:hint="eastAsia" w:ascii="宋体" w:hAnsi="宋体" w:eastAsia="宋体" w:cs="宋体"/>
        </w:rPr>
      </w:pPr>
      <w:r>
        <w:rPr>
          <w:rFonts w:hint="eastAsia" w:ascii="宋体" w:hAnsi="宋体" w:eastAsia="宋体" w:cs="宋体"/>
        </w:rPr>
        <w:t>≥6 个透明外壳</w:t>
      </w:r>
    </w:p>
    <w:p w14:paraId="2F7E5B8A">
      <w:pPr>
        <w:pStyle w:val="12"/>
        <w:jc w:val="left"/>
        <w:rPr>
          <w:rFonts w:hint="eastAsia" w:ascii="宋体" w:hAnsi="宋体" w:eastAsia="宋体" w:cs="宋体"/>
        </w:rPr>
      </w:pPr>
      <w:r>
        <w:rPr>
          <w:rFonts w:hint="eastAsia" w:ascii="宋体" w:hAnsi="宋体" w:eastAsia="宋体" w:cs="宋体"/>
        </w:rPr>
        <w:t>外径 ≥D 40 mm 高度 ≥H 25 mm 容积 ≥V 15 ml  ≥24个工件盖，其中黑色和灰色各≥12个；</w:t>
      </w:r>
    </w:p>
    <w:p w14:paraId="768EB877">
      <w:pPr>
        <w:pStyle w:val="12"/>
        <w:jc w:val="left"/>
        <w:rPr>
          <w:rFonts w:hint="eastAsia" w:ascii="宋体" w:hAnsi="宋体" w:eastAsia="宋体" w:cs="宋体"/>
        </w:rPr>
      </w:pPr>
      <w:r>
        <w:rPr>
          <w:rFonts w:hint="eastAsia" w:ascii="宋体" w:hAnsi="宋体" w:eastAsia="宋体" w:cs="宋体"/>
        </w:rPr>
        <w:t>2.3.12 三排15针单头电缆6根</w:t>
      </w:r>
    </w:p>
    <w:p w14:paraId="27DD970E">
      <w:pPr>
        <w:pStyle w:val="12"/>
        <w:jc w:val="left"/>
        <w:rPr>
          <w:rFonts w:hint="eastAsia" w:ascii="宋体" w:hAnsi="宋体" w:eastAsia="宋体" w:cs="宋体"/>
        </w:rPr>
      </w:pPr>
      <w:r>
        <w:rPr>
          <w:rFonts w:hint="eastAsia" w:ascii="宋体" w:hAnsi="宋体" w:eastAsia="宋体" w:cs="宋体"/>
        </w:rPr>
        <w:t>用于机电一体化模块和开放端子相连接的电缆，单头15芯电缆；</w:t>
      </w:r>
    </w:p>
    <w:p w14:paraId="7AF8BA97">
      <w:pPr>
        <w:pStyle w:val="12"/>
        <w:jc w:val="left"/>
        <w:rPr>
          <w:rFonts w:hint="eastAsia" w:ascii="宋体" w:hAnsi="宋体" w:eastAsia="宋体" w:cs="宋体"/>
        </w:rPr>
      </w:pPr>
      <w:r>
        <w:rPr>
          <w:rFonts w:hint="eastAsia" w:ascii="宋体" w:hAnsi="宋体" w:eastAsia="宋体" w:cs="宋体"/>
        </w:rPr>
        <w:t>技术数据</w:t>
      </w:r>
    </w:p>
    <w:p w14:paraId="331B3023">
      <w:pPr>
        <w:pStyle w:val="12"/>
        <w:jc w:val="left"/>
        <w:rPr>
          <w:rFonts w:hint="eastAsia" w:ascii="宋体" w:hAnsi="宋体" w:eastAsia="宋体" w:cs="宋体"/>
        </w:rPr>
      </w:pPr>
      <w:r>
        <w:rPr>
          <w:rFonts w:hint="eastAsia" w:ascii="宋体" w:hAnsi="宋体" w:eastAsia="宋体" w:cs="宋体"/>
        </w:rPr>
        <w:t>线芯：≥15 x 0.34 mm²</w:t>
      </w:r>
    </w:p>
    <w:p w14:paraId="64F1CC9D">
      <w:pPr>
        <w:pStyle w:val="12"/>
        <w:jc w:val="left"/>
        <w:rPr>
          <w:rFonts w:hint="eastAsia" w:ascii="宋体" w:hAnsi="宋体" w:eastAsia="宋体" w:cs="宋体"/>
        </w:rPr>
      </w:pPr>
      <w:r>
        <w:rPr>
          <w:rFonts w:hint="eastAsia" w:ascii="宋体" w:hAnsi="宋体" w:eastAsia="宋体" w:cs="宋体"/>
        </w:rPr>
        <w:t>长度：≥2.0 M</w:t>
      </w:r>
    </w:p>
    <w:p w14:paraId="27193B2D">
      <w:pPr>
        <w:numPr>
          <w:ilvl w:val="0"/>
          <w:numId w:val="0"/>
        </w:numPr>
        <w:spacing w:line="360" w:lineRule="auto"/>
        <w:jc w:val="both"/>
        <w:rPr>
          <w:rFonts w:hint="eastAsia" w:ascii="宋体" w:hAnsi="宋体" w:eastAsia="宋体" w:cs="宋体"/>
          <w:b w:val="0"/>
          <w:bCs w:val="0"/>
          <w:sz w:val="24"/>
          <w:szCs w:val="24"/>
          <w:lang w:val="en-US" w:eastAsia="zh-CN"/>
        </w:rPr>
      </w:pPr>
    </w:p>
    <w:p w14:paraId="5A92EEF5">
      <w:pPr>
        <w:rPr>
          <w:b/>
          <w:bCs/>
        </w:rPr>
      </w:pPr>
      <w:r>
        <w:rPr>
          <w:b/>
          <w:bCs/>
        </w:rPr>
        <w:t>输送带25模块</w:t>
      </w:r>
    </w:p>
    <w:p w14:paraId="E1B1D3BE">
      <w:r>
        <w:t xml:space="preserve">功能：可以实现工件的双向传送。 </w:t>
      </w:r>
    </w:p>
    <w:p w14:paraId="9B2967D8">
      <w:r>
        <w:t>模块结构组成：由传送带中驱模块（直流减速电机，涨紧调节驱动轮）、纠偏调节机构、输送皮带、旋转编码器、远程IO、型材机体，挡边、可调支架，电机控制器(含2路电磁铁驱动)、光纤传感器、电气接口模块等组成。</w:t>
      </w:r>
    </w:p>
    <w:p w14:paraId="82E34E76">
      <w:r>
        <w:t>主题：双向传送工件，电磁阻隔器控制、能耗制动控制</w:t>
      </w:r>
    </w:p>
    <w:p w14:paraId="ED93F869">
      <w:r>
        <w:t>技术数据：</w:t>
      </w:r>
    </w:p>
    <w:p w14:paraId="07B4B9ED">
      <w:r>
        <w:t xml:space="preserve">电源电压：DC 24V </w:t>
      </w:r>
    </w:p>
    <w:p w14:paraId="E46DEFDE">
      <w:r>
        <w:t>最大工件宽度：40 mm</w:t>
      </w:r>
    </w:p>
    <w:p w14:paraId="1C9F9B7B">
      <w:r>
        <w:t>有效行程：700mm</w:t>
      </w:r>
    </w:p>
    <w:p w14:paraId="8405DBD0">
      <w:r>
        <w:t>运行速度：5m/min</w:t>
      </w:r>
    </w:p>
    <w:p w14:paraId="71F799F5">
      <w:r>
        <w:t>外形尺寸：700×60×120 mm</w:t>
      </w:r>
    </w:p>
    <w:p w14:paraId="78404732">
      <w:r>
        <w:t>编码器：接口类型：HTL / Push pull，编码器分辨率：2000线</w:t>
      </w:r>
    </w:p>
    <w:p w14:paraId="80C21F99">
      <w:r>
        <w:t>DP15母头（三排）接口</w:t>
      </w:r>
    </w:p>
    <w:p w14:paraId="132FA490">
      <w:r>
        <w:t xml:space="preserve">直流电机驱动器(含2路电磁铁驱动) </w:t>
      </w:r>
    </w:p>
    <w:p w14:paraId="DFD92A2D">
      <w:r>
        <w:t>外形尺寸：700×60×120 mm</w:t>
      </w:r>
    </w:p>
    <w:p w14:paraId="48F4D4BF">
      <w:r>
        <w:t>远程IO：</w:t>
      </w:r>
    </w:p>
    <w:p w14:paraId="303219CC">
      <w:r>
        <w:t>数字输入和输出：32 x PNP（可配置输入输出）有高速计数功能</w:t>
      </w:r>
    </w:p>
    <w:p w14:paraId="B7152D81">
      <w:r>
        <w:t>输出电流：0.5A</w:t>
      </w:r>
    </w:p>
    <w:p w14:paraId="B3D39A97">
      <w:r>
        <w:t>电源拓展模块：10路、2A/每路</w:t>
      </w:r>
    </w:p>
    <w:p w14:paraId="57D9513F">
      <w:r>
        <w:t>网络接口：2个用于以太网连接的RJ45端口</w:t>
      </w:r>
    </w:p>
    <w:p w14:paraId="52CAB58B">
      <w:r>
        <w:t>支持的协议：PROFINET</w:t>
      </w:r>
    </w:p>
    <w:p w14:paraId="483D7623">
      <w:r>
        <w:t>培训内容：</w:t>
      </w:r>
    </w:p>
    <w:p w14:paraId="153B4A59">
      <w:r>
        <w:t>纠偏调整</w:t>
      </w:r>
    </w:p>
    <w:p w14:paraId="FC53B482">
      <w:r>
        <w:t>皮带张紧调整</w:t>
      </w:r>
    </w:p>
    <w:p w14:paraId="3E896DC6">
      <w:r>
        <w:t>光纤传感器检测调整应用</w:t>
      </w:r>
    </w:p>
    <w:p w14:paraId="B26EEE22">
      <w:r>
        <w:t>传送带旋转编码器定位控制</w:t>
      </w:r>
    </w:p>
    <w:p w14:paraId="4AB82913">
      <w:r>
        <w:t>远程IO应用</w:t>
      </w:r>
    </w:p>
    <w:p w14:paraId="B473A23E">
      <w:r>
        <w:t>PLC程序设计</w:t>
      </w:r>
    </w:p>
    <w:p w14:paraId="2C95AFA9">
      <w:r>
        <w:t>调试运行</w:t>
      </w:r>
    </w:p>
    <w:p w14:paraId="3FCA46D0">
      <w:pPr>
        <w:rPr>
          <w:b/>
          <w:bCs/>
        </w:rPr>
      </w:pPr>
      <w:r>
        <w:rPr>
          <w:b/>
          <w:bCs/>
        </w:rPr>
        <w:t>灌装单元1</w:t>
      </w:r>
    </w:p>
    <w:p w14:paraId="9511F465">
      <w:r>
        <w:t>功能：对杯型工件传送、灌装、重量和误差控制</w:t>
      </w:r>
    </w:p>
    <w:p w14:paraId="4B79789B">
      <w:r>
        <w:t>结构结构组成：由固体颗粒灌装模块、皮带输送机1模块、摆动搬运手模块、称重模块、平转阻隔器模块、电气接口转换模块、过滤减压阀模块等组成。</w:t>
      </w:r>
    </w:p>
    <w:p w14:paraId="8AFAC5D5">
      <w:r>
        <w:t>技术数据：</w:t>
      </w:r>
    </w:p>
    <w:p w14:paraId="20C61A72">
      <w:r>
        <w:t xml:space="preserve">工作电压：24 V DC </w:t>
      </w:r>
    </w:p>
    <w:p w14:paraId="2CA9C487">
      <w:r>
        <w:t>工作气压：0.4～0.6MPa</w:t>
      </w:r>
    </w:p>
    <w:p w14:paraId="5154D835">
      <w:r>
        <w:t>方形/圆形工件尺寸：最大 40 mm</w:t>
      </w:r>
    </w:p>
    <w:p w14:paraId="0450D8DE">
      <w:r>
        <w:t>灌装重量范围：0-300g，输出电压范围：0-10V</w:t>
      </w:r>
    </w:p>
    <w:p w14:paraId="962F164C">
      <w:r>
        <w:t>称重模块分辨率：0.01g</w:t>
      </w:r>
    </w:p>
    <w:p w14:paraId="4BB9A4A9">
      <w:r>
        <w:t>外形尺寸：350×700×330mm</w:t>
      </w:r>
    </w:p>
    <w:p w14:paraId="F383039D">
      <w:r>
        <w:t>培训内容：</w:t>
      </w:r>
    </w:p>
    <w:p w14:paraId="ADC98DB8">
      <w:r>
        <w:t>气动技术应用</w:t>
      </w:r>
    </w:p>
    <w:p w14:paraId="AFD21B7F">
      <w:r>
        <w:t>管路连接和电线连接</w:t>
      </w:r>
    </w:p>
    <w:p w14:paraId="D1411330">
      <w:r>
        <w:t>模拟量采集及控制</w:t>
      </w:r>
    </w:p>
    <w:p w14:paraId="824504AF">
      <w:r>
        <w:t>控制器程序设计</w:t>
      </w:r>
    </w:p>
    <w:p w14:paraId="34AEBA93">
      <w:r>
        <w:t>触摸屏控制与监控</w:t>
      </w:r>
    </w:p>
    <w:p w14:paraId="C87E93EC">
      <w:r>
        <w:t>灌装重量及误差控制</w:t>
      </w:r>
    </w:p>
    <w:p w14:paraId="B3F4129E">
      <w:r>
        <w:t>订单控制</w:t>
      </w:r>
    </w:p>
    <w:p w14:paraId="C24FF9FD">
      <w:pPr>
        <w:rPr>
          <w:b/>
          <w:bCs/>
        </w:rPr>
      </w:pPr>
      <w:r>
        <w:rPr>
          <w:b/>
          <w:bCs/>
        </w:rPr>
        <w:t>龙门检测分拣单元</w:t>
      </w:r>
    </w:p>
    <w:p w14:paraId="3F92B16A">
      <w:r>
        <w:t>功能：对杯形壳体、盖子的高度、特征进行检测和分拣</w:t>
      </w:r>
    </w:p>
    <w:p w14:paraId="5B53A581">
      <w:r>
        <w:t>结构结构组成：皮带输送机模块、龙门检测模块、电动单向平转阻隔模块、滑槽模块、传感器、电磁驱动器、电气接口转换及C接口模块等组成。</w:t>
      </w:r>
    </w:p>
    <w:p w14:paraId="4D42628B">
      <w:r>
        <w:t>技术数据：</w:t>
      </w:r>
    </w:p>
    <w:p w14:paraId="62D77555">
      <w:r>
        <w:t>工作电压：24V DC</w:t>
      </w:r>
    </w:p>
    <w:p w14:paraId="8B652DDD">
      <w:r>
        <w:t>工作气压：0.4～0.6MPa</w:t>
      </w:r>
    </w:p>
    <w:p w14:paraId="C6934BE1">
      <w:r>
        <w:t>方形/圆形工件尺寸：最大 40 mm</w:t>
      </w:r>
    </w:p>
    <w:p w14:paraId="CABE7B45">
      <w:r>
        <w:t>龙门高度检测范围：0-40mm、模拟量输出：DC1~5V；龙门高度检测：1路数字输出（PNP）</w:t>
      </w:r>
    </w:p>
    <w:p w14:paraId="5B991E3D">
      <w:r>
        <w:t>模拟输出（颜色判断）：DC1~5V</w:t>
      </w:r>
    </w:p>
    <w:p w14:paraId="2EA8D6DD">
      <w:r>
        <w:t>滑槽：3个</w:t>
      </w:r>
    </w:p>
    <w:p w14:paraId="F4C24075">
      <w:r>
        <w:t>电磁驱动器：1个</w:t>
      </w:r>
    </w:p>
    <w:p w14:paraId="9CAA866E">
      <w:r>
        <w:t>电动单向平转阻隔模块2个</w:t>
      </w:r>
    </w:p>
    <w:p w14:paraId="87191948">
      <w:r>
        <w:t>外形尺寸：350×700×330mm</w:t>
      </w:r>
    </w:p>
    <w:p w14:paraId="7ABC79E9">
      <w:r>
        <w:t>培训内容：</w:t>
      </w:r>
    </w:p>
    <w:p w14:paraId="6BA516CF">
      <w:r>
        <w:t>气动技术应用</w:t>
      </w:r>
    </w:p>
    <w:p w14:paraId="AEC0FA15">
      <w:r>
        <w:t>管路连接和电线连接</w:t>
      </w:r>
    </w:p>
    <w:p w14:paraId="20A483FD">
      <w:r>
        <w:t>模拟量采集及控制</w:t>
      </w:r>
    </w:p>
    <w:p w14:paraId="10ED302D">
      <w:r>
        <w:t>模拟量光栅传感器应用</w:t>
      </w:r>
    </w:p>
    <w:p w14:paraId="076F3D2C">
      <w:r>
        <w:t>控制器程序设计</w:t>
      </w:r>
    </w:p>
    <w:p w14:paraId="4F2EDAD3">
      <w:pPr>
        <w:numPr>
          <w:ilvl w:val="0"/>
          <w:numId w:val="0"/>
        </w:numPr>
        <w:spacing w:line="360" w:lineRule="auto"/>
        <w:jc w:val="both"/>
        <w:rPr>
          <w:rFonts w:hint="eastAsia" w:ascii="宋体" w:hAnsi="宋体" w:eastAsia="宋体" w:cs="宋体"/>
          <w:b w:val="0"/>
          <w:bCs w:val="0"/>
          <w:sz w:val="24"/>
          <w:szCs w:val="24"/>
          <w:lang w:val="en-US" w:eastAsia="zh-CN"/>
        </w:rPr>
      </w:pPr>
      <w:bookmarkStart w:id="0" w:name="_GoBack"/>
      <w:bookmarkEnd w:id="0"/>
    </w:p>
    <w:p w14:paraId="4F575BE5">
      <w:pPr>
        <w:numPr>
          <w:ilvl w:val="0"/>
          <w:numId w:val="0"/>
        </w:numPr>
        <w:spacing w:line="360" w:lineRule="auto"/>
        <w:jc w:val="both"/>
        <w:rPr>
          <w:rFonts w:hint="eastAsia" w:ascii="宋体" w:hAnsi="宋体" w:eastAsia="宋体" w:cs="宋体"/>
          <w:b w:val="0"/>
          <w:bCs w:val="0"/>
          <w:sz w:val="24"/>
          <w:szCs w:val="24"/>
          <w:lang w:val="en-US" w:eastAsia="zh-CN"/>
        </w:rPr>
      </w:pPr>
    </w:p>
    <w:p w14:paraId="33E8AFC6">
      <w:pPr>
        <w:numPr>
          <w:ilvl w:val="0"/>
          <w:numId w:val="0"/>
        </w:numPr>
        <w:spacing w:line="360" w:lineRule="auto"/>
        <w:jc w:val="both"/>
        <w:rPr>
          <w:rFonts w:hint="eastAsia" w:ascii="宋体" w:hAnsi="宋体" w:eastAsia="宋体" w:cs="宋体"/>
          <w:b w:val="0"/>
          <w:bCs w:val="0"/>
          <w:sz w:val="24"/>
          <w:szCs w:val="24"/>
          <w:lang w:val="en-US" w:eastAsia="zh-CN"/>
        </w:rPr>
      </w:pPr>
    </w:p>
    <w:p w14:paraId="480CD3D9">
      <w:pPr>
        <w:numPr>
          <w:ilvl w:val="0"/>
          <w:numId w:val="0"/>
        </w:numPr>
        <w:spacing w:line="360" w:lineRule="auto"/>
        <w:jc w:val="both"/>
        <w:rPr>
          <w:rFonts w:hint="eastAsia" w:ascii="宋体" w:hAnsi="宋体" w:eastAsia="宋体" w:cs="宋体"/>
          <w:b w:val="0"/>
          <w:bCs w:val="0"/>
          <w:sz w:val="24"/>
          <w:szCs w:val="24"/>
          <w:lang w:val="en-US" w:eastAsia="zh-CN"/>
        </w:rPr>
      </w:pPr>
    </w:p>
    <w:p w14:paraId="1F79F869">
      <w:pPr>
        <w:numPr>
          <w:ilvl w:val="0"/>
          <w:numId w:val="0"/>
        </w:numPr>
        <w:spacing w:line="360" w:lineRule="auto"/>
        <w:jc w:val="both"/>
        <w:rPr>
          <w:rFonts w:hint="eastAsia" w:ascii="宋体" w:hAnsi="宋体" w:eastAsia="宋体" w:cs="宋体"/>
          <w:b w:val="0"/>
          <w:bCs w:val="0"/>
          <w:sz w:val="24"/>
          <w:szCs w:val="24"/>
          <w:lang w:val="en-US" w:eastAsia="zh-CN"/>
        </w:rPr>
      </w:pPr>
    </w:p>
    <w:p w14:paraId="5B95D42F">
      <w:pPr>
        <w:numPr>
          <w:ilvl w:val="0"/>
          <w:numId w:val="0"/>
        </w:numPr>
        <w:spacing w:line="360" w:lineRule="auto"/>
        <w:jc w:val="both"/>
        <w:rPr>
          <w:rFonts w:hint="eastAsia" w:ascii="宋体" w:hAnsi="宋体" w:eastAsia="宋体" w:cs="宋体"/>
          <w:b w:val="0"/>
          <w:bCs w:val="0"/>
          <w:sz w:val="24"/>
          <w:szCs w:val="24"/>
          <w:lang w:val="en-US" w:eastAsia="zh-CN"/>
        </w:rPr>
      </w:pPr>
    </w:p>
    <w:p w14:paraId="5B58D1D8">
      <w:pPr>
        <w:numPr>
          <w:ilvl w:val="0"/>
          <w:numId w:val="0"/>
        </w:numPr>
        <w:spacing w:line="360" w:lineRule="auto"/>
        <w:jc w:val="both"/>
        <w:rPr>
          <w:rFonts w:hint="eastAsia" w:ascii="宋体" w:hAnsi="宋体" w:eastAsia="宋体" w:cs="宋体"/>
          <w:b w:val="0"/>
          <w:bCs w:val="0"/>
          <w:sz w:val="24"/>
          <w:szCs w:val="24"/>
          <w:lang w:val="en-US" w:eastAsia="zh-CN"/>
        </w:rPr>
      </w:pPr>
    </w:p>
    <w:p w14:paraId="06BCF4AE">
      <w:pPr>
        <w:numPr>
          <w:ilvl w:val="0"/>
          <w:numId w:val="0"/>
        </w:numPr>
        <w:spacing w:line="360" w:lineRule="auto"/>
        <w:jc w:val="both"/>
        <w:rPr>
          <w:rFonts w:hint="eastAsia" w:ascii="宋体" w:hAnsi="宋体" w:eastAsia="宋体" w:cs="宋体"/>
          <w:b w:val="0"/>
          <w:bCs w:val="0"/>
          <w:sz w:val="24"/>
          <w:szCs w:val="24"/>
          <w:lang w:val="en-US" w:eastAsia="zh-CN"/>
        </w:rPr>
      </w:pPr>
    </w:p>
    <w:p w14:paraId="7778E557">
      <w:pPr>
        <w:numPr>
          <w:ilvl w:val="0"/>
          <w:numId w:val="0"/>
        </w:numPr>
        <w:spacing w:line="360" w:lineRule="auto"/>
        <w:jc w:val="both"/>
        <w:rPr>
          <w:rFonts w:hint="eastAsia" w:ascii="宋体" w:hAnsi="宋体" w:eastAsia="宋体" w:cs="宋体"/>
          <w:b w:val="0"/>
          <w:bCs w:val="0"/>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3384273"/>
    <w:multiLevelType w:val="singleLevel"/>
    <w:tmpl w:val="B3384273"/>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7DD426A"/>
    <w:rsid w:val="000409AE"/>
    <w:rsid w:val="001F2DA3"/>
    <w:rsid w:val="005D3F8F"/>
    <w:rsid w:val="00F52A8D"/>
    <w:rsid w:val="01706175"/>
    <w:rsid w:val="01785675"/>
    <w:rsid w:val="019E1F38"/>
    <w:rsid w:val="029370C7"/>
    <w:rsid w:val="02A50666"/>
    <w:rsid w:val="0321556E"/>
    <w:rsid w:val="032F672A"/>
    <w:rsid w:val="03766107"/>
    <w:rsid w:val="03993A4F"/>
    <w:rsid w:val="051C0CEF"/>
    <w:rsid w:val="05C31D9E"/>
    <w:rsid w:val="070E6216"/>
    <w:rsid w:val="074E2C2B"/>
    <w:rsid w:val="07AF7E3A"/>
    <w:rsid w:val="07DD426A"/>
    <w:rsid w:val="08FD1976"/>
    <w:rsid w:val="091100B9"/>
    <w:rsid w:val="092906CB"/>
    <w:rsid w:val="0935611C"/>
    <w:rsid w:val="09766415"/>
    <w:rsid w:val="097A3797"/>
    <w:rsid w:val="09E216CB"/>
    <w:rsid w:val="0A232419"/>
    <w:rsid w:val="0A3462B3"/>
    <w:rsid w:val="0A475469"/>
    <w:rsid w:val="0A5A5873"/>
    <w:rsid w:val="0A906B62"/>
    <w:rsid w:val="0A982578"/>
    <w:rsid w:val="0B1761D2"/>
    <w:rsid w:val="0B5A630E"/>
    <w:rsid w:val="0BB04A3B"/>
    <w:rsid w:val="0CD301E1"/>
    <w:rsid w:val="0D083A90"/>
    <w:rsid w:val="0D85643F"/>
    <w:rsid w:val="0D8C0AC9"/>
    <w:rsid w:val="0E005F54"/>
    <w:rsid w:val="0E8E3B6F"/>
    <w:rsid w:val="0F0B2CE6"/>
    <w:rsid w:val="0FBD67DF"/>
    <w:rsid w:val="1104237A"/>
    <w:rsid w:val="111C1C1F"/>
    <w:rsid w:val="119E04C4"/>
    <w:rsid w:val="11AF0294"/>
    <w:rsid w:val="12602B41"/>
    <w:rsid w:val="12B97466"/>
    <w:rsid w:val="12CD4442"/>
    <w:rsid w:val="138B521B"/>
    <w:rsid w:val="139F4D6C"/>
    <w:rsid w:val="13C833DE"/>
    <w:rsid w:val="13FD3CDB"/>
    <w:rsid w:val="141E5FEA"/>
    <w:rsid w:val="14BB78A8"/>
    <w:rsid w:val="150E311E"/>
    <w:rsid w:val="150F3CC6"/>
    <w:rsid w:val="158A65B6"/>
    <w:rsid w:val="158F246E"/>
    <w:rsid w:val="15AA0A99"/>
    <w:rsid w:val="15F1381F"/>
    <w:rsid w:val="163C139B"/>
    <w:rsid w:val="16404216"/>
    <w:rsid w:val="17760616"/>
    <w:rsid w:val="17B63B9B"/>
    <w:rsid w:val="17CD749A"/>
    <w:rsid w:val="17D77DA9"/>
    <w:rsid w:val="18BD2724"/>
    <w:rsid w:val="18C70B28"/>
    <w:rsid w:val="18F217FA"/>
    <w:rsid w:val="190F6BAC"/>
    <w:rsid w:val="192A17B1"/>
    <w:rsid w:val="19697608"/>
    <w:rsid w:val="19E5593D"/>
    <w:rsid w:val="1AB770F8"/>
    <w:rsid w:val="1B1E2AD6"/>
    <w:rsid w:val="1C032339"/>
    <w:rsid w:val="1C6703E2"/>
    <w:rsid w:val="1C9778DD"/>
    <w:rsid w:val="1CA9376E"/>
    <w:rsid w:val="1CE13520"/>
    <w:rsid w:val="1D1345AD"/>
    <w:rsid w:val="1D2D5631"/>
    <w:rsid w:val="1D94745E"/>
    <w:rsid w:val="1DDF7521"/>
    <w:rsid w:val="1E3845A0"/>
    <w:rsid w:val="1EA577CC"/>
    <w:rsid w:val="1F107FF0"/>
    <w:rsid w:val="1F5D10A9"/>
    <w:rsid w:val="1F6D07C1"/>
    <w:rsid w:val="1F8F25D3"/>
    <w:rsid w:val="1FAC33EA"/>
    <w:rsid w:val="1FED72F9"/>
    <w:rsid w:val="20EB158E"/>
    <w:rsid w:val="212159CA"/>
    <w:rsid w:val="213A094A"/>
    <w:rsid w:val="217A4437"/>
    <w:rsid w:val="228C104B"/>
    <w:rsid w:val="23052447"/>
    <w:rsid w:val="23516232"/>
    <w:rsid w:val="23AE5F84"/>
    <w:rsid w:val="23C6058D"/>
    <w:rsid w:val="24114A9E"/>
    <w:rsid w:val="24214398"/>
    <w:rsid w:val="24611AAF"/>
    <w:rsid w:val="24BA4B4F"/>
    <w:rsid w:val="24D80E54"/>
    <w:rsid w:val="257314CA"/>
    <w:rsid w:val="266F2F1B"/>
    <w:rsid w:val="26AD1A9F"/>
    <w:rsid w:val="27354315"/>
    <w:rsid w:val="27636E07"/>
    <w:rsid w:val="27660F49"/>
    <w:rsid w:val="27994F87"/>
    <w:rsid w:val="28133675"/>
    <w:rsid w:val="285E51CB"/>
    <w:rsid w:val="28E24189"/>
    <w:rsid w:val="291C31C2"/>
    <w:rsid w:val="292335D4"/>
    <w:rsid w:val="29325D7D"/>
    <w:rsid w:val="29686BF8"/>
    <w:rsid w:val="299C0ED5"/>
    <w:rsid w:val="29A547A1"/>
    <w:rsid w:val="2A1D0A22"/>
    <w:rsid w:val="2B306B53"/>
    <w:rsid w:val="2B9A2F19"/>
    <w:rsid w:val="2CF30BCC"/>
    <w:rsid w:val="2D47415D"/>
    <w:rsid w:val="2D4B685B"/>
    <w:rsid w:val="2D6D5012"/>
    <w:rsid w:val="2D7B5129"/>
    <w:rsid w:val="2D800843"/>
    <w:rsid w:val="2E2C79CF"/>
    <w:rsid w:val="2FB370E3"/>
    <w:rsid w:val="2FCA4F61"/>
    <w:rsid w:val="2FF31539"/>
    <w:rsid w:val="30353943"/>
    <w:rsid w:val="3075660F"/>
    <w:rsid w:val="309A2B85"/>
    <w:rsid w:val="30D36097"/>
    <w:rsid w:val="30D43636"/>
    <w:rsid w:val="31C97385"/>
    <w:rsid w:val="321D3148"/>
    <w:rsid w:val="321E77E6"/>
    <w:rsid w:val="32C65EB4"/>
    <w:rsid w:val="331C1F4B"/>
    <w:rsid w:val="332D4F22"/>
    <w:rsid w:val="332E11BD"/>
    <w:rsid w:val="334D3EDF"/>
    <w:rsid w:val="33915228"/>
    <w:rsid w:val="343C30D4"/>
    <w:rsid w:val="34873421"/>
    <w:rsid w:val="34882F41"/>
    <w:rsid w:val="34CF2E9E"/>
    <w:rsid w:val="35287742"/>
    <w:rsid w:val="358154BF"/>
    <w:rsid w:val="35EE6024"/>
    <w:rsid w:val="36060FA1"/>
    <w:rsid w:val="36547BD5"/>
    <w:rsid w:val="36716622"/>
    <w:rsid w:val="37214898"/>
    <w:rsid w:val="37C73731"/>
    <w:rsid w:val="380A1B7E"/>
    <w:rsid w:val="38113F4A"/>
    <w:rsid w:val="382F0AB9"/>
    <w:rsid w:val="38EB6C6E"/>
    <w:rsid w:val="38F62459"/>
    <w:rsid w:val="39226967"/>
    <w:rsid w:val="39333B69"/>
    <w:rsid w:val="397720D5"/>
    <w:rsid w:val="39B1532D"/>
    <w:rsid w:val="3A22476C"/>
    <w:rsid w:val="3A3D40D8"/>
    <w:rsid w:val="3A4D3806"/>
    <w:rsid w:val="3A4E0DDD"/>
    <w:rsid w:val="3A5717AD"/>
    <w:rsid w:val="3AA20FB4"/>
    <w:rsid w:val="3AB40E29"/>
    <w:rsid w:val="3AB46CF9"/>
    <w:rsid w:val="3ACE466E"/>
    <w:rsid w:val="3BB6607F"/>
    <w:rsid w:val="3BB94CB3"/>
    <w:rsid w:val="3C2D2B00"/>
    <w:rsid w:val="3C356755"/>
    <w:rsid w:val="3C60501B"/>
    <w:rsid w:val="3C94676F"/>
    <w:rsid w:val="3D421FBB"/>
    <w:rsid w:val="3E361608"/>
    <w:rsid w:val="3E5F4AE1"/>
    <w:rsid w:val="3F4D6116"/>
    <w:rsid w:val="3F974EC4"/>
    <w:rsid w:val="3FF537D2"/>
    <w:rsid w:val="402406BD"/>
    <w:rsid w:val="403A06BE"/>
    <w:rsid w:val="40C1308E"/>
    <w:rsid w:val="40E87C4F"/>
    <w:rsid w:val="411D7BCE"/>
    <w:rsid w:val="412E6E7D"/>
    <w:rsid w:val="414F73B2"/>
    <w:rsid w:val="41F51779"/>
    <w:rsid w:val="42554B5E"/>
    <w:rsid w:val="42662C51"/>
    <w:rsid w:val="426F0B0E"/>
    <w:rsid w:val="42A40880"/>
    <w:rsid w:val="42E303BC"/>
    <w:rsid w:val="42F87603"/>
    <w:rsid w:val="431E7209"/>
    <w:rsid w:val="43245EA3"/>
    <w:rsid w:val="43973DF4"/>
    <w:rsid w:val="449D1FC8"/>
    <w:rsid w:val="44F901B8"/>
    <w:rsid w:val="459C771C"/>
    <w:rsid w:val="45F3595C"/>
    <w:rsid w:val="46354182"/>
    <w:rsid w:val="464A0F81"/>
    <w:rsid w:val="4704097C"/>
    <w:rsid w:val="47E37174"/>
    <w:rsid w:val="48BC5937"/>
    <w:rsid w:val="490C3666"/>
    <w:rsid w:val="4963590A"/>
    <w:rsid w:val="49B26D3A"/>
    <w:rsid w:val="4A062BE2"/>
    <w:rsid w:val="4AB50890"/>
    <w:rsid w:val="4B074D0A"/>
    <w:rsid w:val="4B384551"/>
    <w:rsid w:val="4C1913FC"/>
    <w:rsid w:val="4C893ADF"/>
    <w:rsid w:val="4CCB3718"/>
    <w:rsid w:val="4D654D87"/>
    <w:rsid w:val="4D8A7F72"/>
    <w:rsid w:val="4D901140"/>
    <w:rsid w:val="4E1C1FB4"/>
    <w:rsid w:val="4E1D64FB"/>
    <w:rsid w:val="4E2323E4"/>
    <w:rsid w:val="4F0E2841"/>
    <w:rsid w:val="4F7B05C2"/>
    <w:rsid w:val="4FB37368"/>
    <w:rsid w:val="4FB527DE"/>
    <w:rsid w:val="4FDB117D"/>
    <w:rsid w:val="4FF26337"/>
    <w:rsid w:val="500E64EC"/>
    <w:rsid w:val="509D0BFE"/>
    <w:rsid w:val="5104192E"/>
    <w:rsid w:val="511E6A63"/>
    <w:rsid w:val="51B05393"/>
    <w:rsid w:val="51F83955"/>
    <w:rsid w:val="52F15B2C"/>
    <w:rsid w:val="534851FE"/>
    <w:rsid w:val="534C4455"/>
    <w:rsid w:val="542C6B5D"/>
    <w:rsid w:val="54522561"/>
    <w:rsid w:val="54D92093"/>
    <w:rsid w:val="552032DD"/>
    <w:rsid w:val="55326F81"/>
    <w:rsid w:val="556A76AE"/>
    <w:rsid w:val="55784C82"/>
    <w:rsid w:val="55BD4BB9"/>
    <w:rsid w:val="55C75AED"/>
    <w:rsid w:val="56781A69"/>
    <w:rsid w:val="567F0E43"/>
    <w:rsid w:val="58D33E46"/>
    <w:rsid w:val="596A142E"/>
    <w:rsid w:val="59B57CBC"/>
    <w:rsid w:val="5A4F47EA"/>
    <w:rsid w:val="5A870015"/>
    <w:rsid w:val="5AA27CEC"/>
    <w:rsid w:val="5AFE34D7"/>
    <w:rsid w:val="5B491C2F"/>
    <w:rsid w:val="5B667984"/>
    <w:rsid w:val="5B6A21B6"/>
    <w:rsid w:val="5C0C5E90"/>
    <w:rsid w:val="5C147FD3"/>
    <w:rsid w:val="5C402DFB"/>
    <w:rsid w:val="5CC826A5"/>
    <w:rsid w:val="5CCD244D"/>
    <w:rsid w:val="5CDF354A"/>
    <w:rsid w:val="5CEE0A8F"/>
    <w:rsid w:val="5CFB5CA6"/>
    <w:rsid w:val="5D6C6682"/>
    <w:rsid w:val="5D7F5AF4"/>
    <w:rsid w:val="5DB669A1"/>
    <w:rsid w:val="5DC26F2A"/>
    <w:rsid w:val="5E290DED"/>
    <w:rsid w:val="5E6526B6"/>
    <w:rsid w:val="5E6F08FE"/>
    <w:rsid w:val="5EAE685D"/>
    <w:rsid w:val="5F5F7BAF"/>
    <w:rsid w:val="5FC76B5A"/>
    <w:rsid w:val="60116111"/>
    <w:rsid w:val="608C1EF4"/>
    <w:rsid w:val="60A03697"/>
    <w:rsid w:val="60F41327"/>
    <w:rsid w:val="60FA4F03"/>
    <w:rsid w:val="61D87997"/>
    <w:rsid w:val="62AA2755"/>
    <w:rsid w:val="62CB0224"/>
    <w:rsid w:val="62D3782F"/>
    <w:rsid w:val="639E277B"/>
    <w:rsid w:val="64086C57"/>
    <w:rsid w:val="640C0830"/>
    <w:rsid w:val="64267CB1"/>
    <w:rsid w:val="6457322E"/>
    <w:rsid w:val="647C19B2"/>
    <w:rsid w:val="649573EF"/>
    <w:rsid w:val="64E128D0"/>
    <w:rsid w:val="64E82745"/>
    <w:rsid w:val="65753634"/>
    <w:rsid w:val="664E451E"/>
    <w:rsid w:val="668A15B3"/>
    <w:rsid w:val="66E2321F"/>
    <w:rsid w:val="66E77BCB"/>
    <w:rsid w:val="6758380A"/>
    <w:rsid w:val="680E2045"/>
    <w:rsid w:val="68C83A2C"/>
    <w:rsid w:val="68D04302"/>
    <w:rsid w:val="691F4331"/>
    <w:rsid w:val="69B978CF"/>
    <w:rsid w:val="6AFF5C1B"/>
    <w:rsid w:val="6B5341EB"/>
    <w:rsid w:val="6B8706C2"/>
    <w:rsid w:val="6D3502FB"/>
    <w:rsid w:val="6D920165"/>
    <w:rsid w:val="6DE41778"/>
    <w:rsid w:val="6E747406"/>
    <w:rsid w:val="6ECA29B7"/>
    <w:rsid w:val="70152748"/>
    <w:rsid w:val="703A264D"/>
    <w:rsid w:val="70642053"/>
    <w:rsid w:val="70F051AD"/>
    <w:rsid w:val="715A543E"/>
    <w:rsid w:val="71755DD4"/>
    <w:rsid w:val="718573B8"/>
    <w:rsid w:val="71C22F81"/>
    <w:rsid w:val="71C50D8A"/>
    <w:rsid w:val="71CF4C44"/>
    <w:rsid w:val="71DE2CE0"/>
    <w:rsid w:val="72CE25E9"/>
    <w:rsid w:val="72DB610A"/>
    <w:rsid w:val="72ED761A"/>
    <w:rsid w:val="735D0BD3"/>
    <w:rsid w:val="7371381A"/>
    <w:rsid w:val="73D07134"/>
    <w:rsid w:val="746E24AF"/>
    <w:rsid w:val="74EC0BE3"/>
    <w:rsid w:val="75390090"/>
    <w:rsid w:val="75C31342"/>
    <w:rsid w:val="76147BCB"/>
    <w:rsid w:val="773F7AD4"/>
    <w:rsid w:val="776A0596"/>
    <w:rsid w:val="77C44C0A"/>
    <w:rsid w:val="78197E01"/>
    <w:rsid w:val="788708AB"/>
    <w:rsid w:val="78910284"/>
    <w:rsid w:val="78A60180"/>
    <w:rsid w:val="795308D5"/>
    <w:rsid w:val="79786DA9"/>
    <w:rsid w:val="79921083"/>
    <w:rsid w:val="79B7335B"/>
    <w:rsid w:val="7A8A33F2"/>
    <w:rsid w:val="7AAA62CC"/>
    <w:rsid w:val="7B3D1CE6"/>
    <w:rsid w:val="7B95779E"/>
    <w:rsid w:val="7C4B59F8"/>
    <w:rsid w:val="7DC12ACC"/>
    <w:rsid w:val="7E006FD9"/>
    <w:rsid w:val="7E65736C"/>
    <w:rsid w:val="7E976F8E"/>
    <w:rsid w:val="7EC7158C"/>
    <w:rsid w:val="7EF44B03"/>
    <w:rsid w:val="7F035F71"/>
    <w:rsid w:val="7FC63AB1"/>
    <w:rsid w:val="7FC65C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paragraph" w:styleId="4">
    <w:name w:val="Title"/>
    <w:basedOn w:val="1"/>
    <w:next w:val="1"/>
    <w:qFormat/>
    <w:uiPriority w:val="0"/>
    <w:pPr>
      <w:adjustRightInd w:val="0"/>
      <w:spacing w:before="240" w:beforeLines="0" w:after="60" w:afterLines="0" w:line="420" w:lineRule="atLeast"/>
      <w:jc w:val="center"/>
      <w:textAlignment w:val="baseline"/>
      <w:outlineLvl w:val="0"/>
    </w:pPr>
    <w:rPr>
      <w:rFonts w:ascii="Arial" w:hAnsi="Arial"/>
      <w:b/>
      <w:kern w:val="0"/>
      <w:sz w:val="32"/>
      <w:szCs w:val="20"/>
    </w:rPr>
  </w:style>
  <w:style w:type="character" w:styleId="7">
    <w:name w:val="Strong"/>
    <w:basedOn w:val="6"/>
    <w:qFormat/>
    <w:uiPriority w:val="0"/>
    <w:rPr>
      <w:b/>
    </w:rPr>
  </w:style>
  <w:style w:type="character" w:styleId="8">
    <w:name w:val="Emphasis"/>
    <w:basedOn w:val="6"/>
    <w:qFormat/>
    <w:uiPriority w:val="0"/>
    <w:rPr>
      <w:i/>
    </w:rPr>
  </w:style>
  <w:style w:type="character" w:styleId="9">
    <w:name w:val="Hyperlink"/>
    <w:basedOn w:val="6"/>
    <w:qFormat/>
    <w:uiPriority w:val="0"/>
    <w:rPr>
      <w:color w:val="0000FF"/>
      <w:u w:val="single"/>
    </w:rPr>
  </w:style>
  <w:style w:type="character" w:customStyle="1" w:styleId="10">
    <w:name w:val="font112"/>
    <w:basedOn w:val="6"/>
    <w:qFormat/>
    <w:uiPriority w:val="0"/>
    <w:rPr>
      <w:rFonts w:hint="eastAsia" w:ascii="微软雅黑" w:hAnsi="微软雅黑" w:eastAsia="微软雅黑" w:cs="微软雅黑"/>
      <w:color w:val="000000"/>
      <w:sz w:val="20"/>
      <w:szCs w:val="20"/>
      <w:u w:val="none"/>
    </w:rPr>
  </w:style>
  <w:style w:type="character" w:customStyle="1" w:styleId="11">
    <w:name w:val="font141"/>
    <w:basedOn w:val="6"/>
    <w:qFormat/>
    <w:uiPriority w:val="0"/>
    <w:rPr>
      <w:rFonts w:hint="eastAsia" w:ascii="宋体" w:hAnsi="宋体" w:eastAsia="宋体" w:cs="宋体"/>
      <w:color w:val="000000"/>
      <w:sz w:val="20"/>
      <w:szCs w:val="20"/>
      <w:u w:val="none"/>
    </w:rPr>
  </w:style>
  <w:style w:type="paragraph" w:customStyle="1" w:styleId="12">
    <w:name w:val="表格文件"/>
    <w:basedOn w:val="1"/>
    <w:qFormat/>
    <w:uiPriority w:val="0"/>
    <w:pPr>
      <w:jc w:val="center"/>
    </w:pPr>
    <w:rPr>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7712</Words>
  <Characters>8659</Characters>
  <Lines>0</Lines>
  <Paragraphs>0</Paragraphs>
  <TotalTime>0</TotalTime>
  <ScaleCrop>false</ScaleCrop>
  <LinksUpToDate>false</LinksUpToDate>
  <CharactersWithSpaces>9087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2026-04-21T02:33:00Z</dcterms:created>
  <dc:creator>刘万能</dc:creator>
  <cp:lastModifiedBy>酒薄醉易醒</cp:lastModifiedBy>
  <cp:lastPrinted>2026-07-28T04:59:00Z</cp:lastPrinted>
  <dcterms:modified xsi:type="dcterms:W3CDTF">2026-10-09T00:38:37Z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DE0835278B934A4B907EA6431B8DB115_11</vt:lpwstr>
  </property>
  <property fmtid="{D5CDD505-2E9C-101B-9397-08002B2CF9AE}" pid="4" name="KSOTemplateDocerSaveRecord">
    <vt:lpwstr>eyJoZGlkIjoiYjg3NWI0MjJjNmE1NjFjNTk5YmZlZWYzYjkyZjNhN2IiLCJ1c2VySWQiOiIxMTM0MzU1NTIxIn0=</vt:lpwstr>
  </property>
</Properties>
</file>